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29E30" w14:textId="77777777" w:rsidR="00C666AF" w:rsidRPr="00781948" w:rsidRDefault="00000000">
      <w:pPr>
        <w:spacing w:after="120"/>
        <w:rPr>
          <w:sz w:val="20"/>
          <w:szCs w:val="20"/>
          <w:lang w:val="id-ID"/>
        </w:rPr>
      </w:pPr>
      <w:r w:rsidRPr="00781948">
        <w:rPr>
          <w:sz w:val="20"/>
          <w:szCs w:val="20"/>
          <w:lang w:val="id-ID"/>
        </w:rPr>
        <w:t>Original Research Paper</w:t>
      </w:r>
    </w:p>
    <w:p w14:paraId="663B6489" w14:textId="77777777" w:rsidR="00C666AF" w:rsidRPr="00781948" w:rsidRDefault="00000000">
      <w:pPr>
        <w:rPr>
          <w:rFonts w:eastAsia="Times New Roman"/>
          <w:b/>
          <w:bCs/>
          <w:sz w:val="28"/>
          <w:szCs w:val="28"/>
          <w:lang w:val="id-ID"/>
        </w:rPr>
      </w:pPr>
      <w:r w:rsidRPr="00781948">
        <w:rPr>
          <w:rFonts w:eastAsia="Times New Roman"/>
          <w:b/>
          <w:bCs/>
          <w:sz w:val="28"/>
          <w:szCs w:val="28"/>
          <w:lang w:val="id-ID"/>
        </w:rPr>
        <w:t>The Diversity of Macrofungi in TWA Gunung Tunak, Central Lombok</w:t>
      </w:r>
    </w:p>
    <w:p w14:paraId="57E64AAB" w14:textId="77777777" w:rsidR="00A94B85" w:rsidRPr="00781948" w:rsidRDefault="00A94B85">
      <w:pPr>
        <w:rPr>
          <w:rFonts w:eastAsia="Times New Roman"/>
          <w:b/>
          <w:bCs/>
          <w:sz w:val="28"/>
          <w:szCs w:val="28"/>
          <w:lang w:val="id-ID"/>
        </w:rPr>
      </w:pPr>
    </w:p>
    <w:p w14:paraId="0F8CD874" w14:textId="5668E886" w:rsidR="00C666AF" w:rsidRPr="00781948" w:rsidRDefault="00000000">
      <w:pPr>
        <w:spacing w:line="280" w:lineRule="exact"/>
        <w:ind w:firstLine="720"/>
        <w:rPr>
          <w:b/>
          <w:sz w:val="22"/>
          <w:szCs w:val="22"/>
          <w:lang w:val="id-ID"/>
        </w:rPr>
      </w:pPr>
      <w:r w:rsidRPr="00781948">
        <w:rPr>
          <w:b/>
          <w:sz w:val="22"/>
          <w:szCs w:val="22"/>
          <w:lang w:val="id-ID"/>
        </w:rPr>
        <w:t>Meilinda Pahriana Sulastri</w:t>
      </w:r>
      <w:r w:rsidRPr="00781948">
        <w:rPr>
          <w:b/>
          <w:sz w:val="22"/>
          <w:szCs w:val="22"/>
          <w:vertAlign w:val="superscript"/>
          <w:lang w:val="id-ID"/>
        </w:rPr>
        <w:t>1</w:t>
      </w:r>
      <w:r w:rsidR="00AA4601" w:rsidRPr="00781948">
        <w:rPr>
          <w:b/>
          <w:sz w:val="22"/>
          <w:szCs w:val="22"/>
          <w:vertAlign w:val="superscript"/>
          <w:lang w:val="id-ID"/>
        </w:rPr>
        <w:t>*</w:t>
      </w:r>
      <w:r w:rsidRPr="00781948">
        <w:rPr>
          <w:b/>
          <w:sz w:val="22"/>
          <w:szCs w:val="22"/>
          <w:lang w:val="id-ID"/>
        </w:rPr>
        <w:t>, Arista Suci Andini</w:t>
      </w:r>
      <w:r w:rsidRPr="00781948">
        <w:rPr>
          <w:b/>
          <w:sz w:val="22"/>
          <w:szCs w:val="22"/>
          <w:vertAlign w:val="superscript"/>
          <w:lang w:val="id-ID"/>
        </w:rPr>
        <w:t>1</w:t>
      </w:r>
      <w:r w:rsidRPr="00781948">
        <w:rPr>
          <w:b/>
          <w:sz w:val="22"/>
          <w:szCs w:val="22"/>
          <w:lang w:val="id-ID"/>
        </w:rPr>
        <w:t>, Hasan Basri</w:t>
      </w:r>
      <w:r w:rsidRPr="00781948">
        <w:rPr>
          <w:b/>
          <w:sz w:val="22"/>
          <w:szCs w:val="22"/>
          <w:vertAlign w:val="superscript"/>
          <w:lang w:val="id-ID"/>
        </w:rPr>
        <w:t>1</w:t>
      </w:r>
    </w:p>
    <w:p w14:paraId="46ADA784" w14:textId="0650D830" w:rsidR="00C666AF" w:rsidRPr="00781948" w:rsidRDefault="00000000">
      <w:pPr>
        <w:ind w:left="720"/>
        <w:rPr>
          <w:sz w:val="20"/>
          <w:szCs w:val="20"/>
          <w:lang w:val="id-ID"/>
        </w:rPr>
      </w:pPr>
      <w:r w:rsidRPr="00781948">
        <w:rPr>
          <w:bCs/>
          <w:sz w:val="20"/>
          <w:szCs w:val="20"/>
          <w:vertAlign w:val="superscript"/>
          <w:lang w:val="id-ID"/>
        </w:rPr>
        <w:t>1</w:t>
      </w:r>
      <w:r w:rsidRPr="00781948">
        <w:rPr>
          <w:bCs/>
          <w:sz w:val="20"/>
          <w:szCs w:val="20"/>
          <w:lang w:val="id-ID"/>
        </w:rPr>
        <w:t>Department of Biology</w:t>
      </w:r>
      <w:r w:rsidRPr="00781948">
        <w:rPr>
          <w:sz w:val="20"/>
          <w:szCs w:val="20"/>
          <w:lang w:val="id-ID"/>
        </w:rPr>
        <w:t>, Faculty of Mathematics and Natural Science, Universitas Islam Al-Azhar, Indonesia</w:t>
      </w:r>
      <w:r w:rsidR="00781948" w:rsidRPr="00781948">
        <w:rPr>
          <w:sz w:val="20"/>
          <w:szCs w:val="20"/>
          <w:lang w:val="id-ID"/>
        </w:rPr>
        <w:t>;</w:t>
      </w:r>
    </w:p>
    <w:p w14:paraId="0F0055F0" w14:textId="77777777" w:rsidR="00C666AF" w:rsidRPr="00781948" w:rsidRDefault="00C666AF" w:rsidP="00781948">
      <w:pPr>
        <w:rPr>
          <w:sz w:val="20"/>
          <w:szCs w:val="20"/>
          <w:lang w:val="id-ID"/>
        </w:rPr>
      </w:pPr>
    </w:p>
    <w:p w14:paraId="1AED89A5" w14:textId="77777777" w:rsidR="00C666AF" w:rsidRPr="00781948" w:rsidRDefault="00C666AF" w:rsidP="00781948">
      <w:pPr>
        <w:spacing w:line="200" w:lineRule="exact"/>
        <w:rPr>
          <w:sz w:val="20"/>
          <w:szCs w:val="20"/>
          <w:lang w:val="id-ID"/>
        </w:rPr>
      </w:pPr>
    </w:p>
    <w:tbl>
      <w:tblPr>
        <w:tblW w:w="9004" w:type="dxa"/>
        <w:tblLook w:val="04A0" w:firstRow="1" w:lastRow="0" w:firstColumn="1" w:lastColumn="0" w:noHBand="0" w:noVBand="1"/>
      </w:tblPr>
      <w:tblGrid>
        <w:gridCol w:w="2518"/>
        <w:gridCol w:w="6486"/>
      </w:tblGrid>
      <w:tr w:rsidR="00C666AF" w:rsidRPr="00781948" w14:paraId="041DD1DA" w14:textId="77777777">
        <w:trPr>
          <w:trHeight w:val="1226"/>
        </w:trPr>
        <w:tc>
          <w:tcPr>
            <w:tcW w:w="2518" w:type="dxa"/>
            <w:vMerge w:val="restart"/>
            <w:tcBorders>
              <w:right w:val="single" w:sz="4" w:space="0" w:color="auto"/>
            </w:tcBorders>
            <w:shd w:val="clear" w:color="auto" w:fill="auto"/>
          </w:tcPr>
          <w:p w14:paraId="25C62DEC" w14:textId="77777777" w:rsidR="00C666AF" w:rsidRPr="00781948" w:rsidRDefault="00000000">
            <w:pPr>
              <w:spacing w:line="276" w:lineRule="auto"/>
              <w:rPr>
                <w:b/>
                <w:sz w:val="18"/>
                <w:szCs w:val="18"/>
                <w:lang w:val="id-ID"/>
              </w:rPr>
            </w:pPr>
            <w:r w:rsidRPr="00781948">
              <w:rPr>
                <w:b/>
                <w:sz w:val="18"/>
                <w:szCs w:val="18"/>
                <w:lang w:val="id-ID"/>
              </w:rPr>
              <w:t>Article History</w:t>
            </w:r>
          </w:p>
          <w:p w14:paraId="0759009F" w14:textId="77777777" w:rsidR="000D7034" w:rsidRPr="00C90EA2" w:rsidRDefault="00000000" w:rsidP="000D7034">
            <w:pPr>
              <w:spacing w:line="276" w:lineRule="auto"/>
              <w:rPr>
                <w:sz w:val="18"/>
                <w:szCs w:val="20"/>
                <w:lang w:val="id-ID"/>
              </w:rPr>
            </w:pPr>
            <w:r w:rsidRPr="00781948">
              <w:rPr>
                <w:sz w:val="18"/>
                <w:szCs w:val="18"/>
                <w:lang w:val="id-ID"/>
              </w:rPr>
              <w:t xml:space="preserve">Received : </w:t>
            </w:r>
            <w:r w:rsidR="000D7034">
              <w:rPr>
                <w:sz w:val="18"/>
                <w:szCs w:val="20"/>
                <w:lang w:val="id-ID"/>
              </w:rPr>
              <w:t>February 25</w:t>
            </w:r>
            <w:r w:rsidR="000D7034" w:rsidRPr="00C90EA2">
              <w:rPr>
                <w:sz w:val="18"/>
                <w:szCs w:val="20"/>
                <w:vertAlign w:val="superscript"/>
                <w:lang w:val="id-ID"/>
              </w:rPr>
              <w:t>th</w:t>
            </w:r>
            <w:r w:rsidR="000D7034" w:rsidRPr="00C90EA2">
              <w:rPr>
                <w:sz w:val="18"/>
                <w:szCs w:val="20"/>
                <w:lang w:val="id-ID"/>
              </w:rPr>
              <w:t>, 2025</w:t>
            </w:r>
          </w:p>
          <w:p w14:paraId="7C799ACA" w14:textId="77777777" w:rsidR="000D7034" w:rsidRPr="00C90EA2" w:rsidRDefault="000D7034" w:rsidP="000D7034">
            <w:pPr>
              <w:spacing w:line="276" w:lineRule="auto"/>
              <w:rPr>
                <w:sz w:val="18"/>
                <w:szCs w:val="20"/>
                <w:lang w:val="id-ID"/>
              </w:rPr>
            </w:pPr>
            <w:r w:rsidRPr="00C90EA2">
              <w:rPr>
                <w:sz w:val="18"/>
                <w:szCs w:val="20"/>
                <w:lang w:val="id-ID"/>
              </w:rPr>
              <w:t xml:space="preserve">Revised : </w:t>
            </w:r>
            <w:r>
              <w:rPr>
                <w:sz w:val="18"/>
                <w:szCs w:val="20"/>
                <w:lang w:val="id-ID"/>
              </w:rPr>
              <w:t>March</w:t>
            </w:r>
            <w:r w:rsidRPr="00C90EA2">
              <w:rPr>
                <w:sz w:val="18"/>
                <w:szCs w:val="20"/>
                <w:lang w:val="id-ID"/>
              </w:rPr>
              <w:t xml:space="preserve"> </w:t>
            </w:r>
            <w:r>
              <w:rPr>
                <w:sz w:val="18"/>
                <w:szCs w:val="20"/>
                <w:lang w:val="id-ID"/>
              </w:rPr>
              <w:t>1</w:t>
            </w:r>
            <w:r w:rsidRPr="00C90EA2">
              <w:rPr>
                <w:sz w:val="18"/>
                <w:szCs w:val="20"/>
                <w:lang w:val="id-ID"/>
              </w:rPr>
              <w:t>0</w:t>
            </w:r>
            <w:r w:rsidRPr="00C90EA2">
              <w:rPr>
                <w:sz w:val="18"/>
                <w:szCs w:val="20"/>
                <w:vertAlign w:val="superscript"/>
                <w:lang w:val="id-ID"/>
              </w:rPr>
              <w:t>th</w:t>
            </w:r>
            <w:r w:rsidRPr="00C90EA2">
              <w:rPr>
                <w:sz w:val="18"/>
                <w:szCs w:val="20"/>
                <w:lang w:val="id-ID"/>
              </w:rPr>
              <w:t>, 2025</w:t>
            </w:r>
          </w:p>
          <w:p w14:paraId="60343F14" w14:textId="23AD5C4E" w:rsidR="000D7034" w:rsidRPr="00C90EA2" w:rsidRDefault="000D7034" w:rsidP="000D7034">
            <w:pPr>
              <w:spacing w:line="276" w:lineRule="auto"/>
              <w:rPr>
                <w:sz w:val="18"/>
                <w:szCs w:val="20"/>
                <w:lang w:val="id-ID"/>
              </w:rPr>
            </w:pPr>
            <w:r w:rsidRPr="00C90EA2">
              <w:rPr>
                <w:sz w:val="18"/>
                <w:szCs w:val="20"/>
                <w:lang w:val="id-ID"/>
              </w:rPr>
              <w:t xml:space="preserve">Accepted : </w:t>
            </w:r>
            <w:r>
              <w:rPr>
                <w:sz w:val="18"/>
                <w:szCs w:val="20"/>
                <w:lang w:val="id-ID"/>
              </w:rPr>
              <w:t>March</w:t>
            </w:r>
            <w:r w:rsidRPr="00C90EA2">
              <w:rPr>
                <w:sz w:val="18"/>
                <w:szCs w:val="20"/>
                <w:lang w:val="id-ID"/>
              </w:rPr>
              <w:t xml:space="preserve"> 1</w:t>
            </w:r>
            <w:r w:rsidR="007E3B35">
              <w:rPr>
                <w:sz w:val="18"/>
                <w:szCs w:val="20"/>
                <w:lang w:val="id-ID"/>
              </w:rPr>
              <w:t>8</w:t>
            </w:r>
            <w:r w:rsidRPr="00C90EA2">
              <w:rPr>
                <w:sz w:val="18"/>
                <w:szCs w:val="20"/>
                <w:vertAlign w:val="superscript"/>
                <w:lang w:val="id-ID"/>
              </w:rPr>
              <w:t>th</w:t>
            </w:r>
            <w:r w:rsidRPr="00C90EA2">
              <w:rPr>
                <w:sz w:val="18"/>
                <w:szCs w:val="20"/>
                <w:lang w:val="id-ID"/>
              </w:rPr>
              <w:t>, 2025</w:t>
            </w:r>
          </w:p>
          <w:p w14:paraId="329A0AEA" w14:textId="4F64BA4E" w:rsidR="00C666AF" w:rsidRPr="00781948" w:rsidRDefault="00C666AF">
            <w:pPr>
              <w:rPr>
                <w:sz w:val="18"/>
                <w:szCs w:val="18"/>
                <w:lang w:val="id-ID"/>
              </w:rPr>
            </w:pPr>
          </w:p>
          <w:p w14:paraId="0565258D" w14:textId="77777777" w:rsidR="00047FFC" w:rsidRPr="00781948" w:rsidRDefault="00047FFC">
            <w:pPr>
              <w:rPr>
                <w:sz w:val="18"/>
                <w:szCs w:val="18"/>
                <w:lang w:val="id-ID"/>
              </w:rPr>
            </w:pPr>
          </w:p>
          <w:p w14:paraId="01DEDB6E" w14:textId="145E4421" w:rsidR="00C666AF" w:rsidRPr="00781948" w:rsidRDefault="00000000">
            <w:pPr>
              <w:rPr>
                <w:sz w:val="18"/>
                <w:szCs w:val="18"/>
                <w:lang w:val="id-ID"/>
              </w:rPr>
            </w:pPr>
            <w:r w:rsidRPr="00781948">
              <w:rPr>
                <w:sz w:val="18"/>
                <w:szCs w:val="18"/>
                <w:lang w:val="id-ID"/>
              </w:rPr>
              <w:t xml:space="preserve">*Corresponding Author: </w:t>
            </w:r>
            <w:r w:rsidRPr="00781948">
              <w:rPr>
                <w:b/>
                <w:sz w:val="18"/>
                <w:szCs w:val="18"/>
                <w:lang w:val="id-ID"/>
              </w:rPr>
              <w:t>Meilinda Pahriana Sulastri</w:t>
            </w:r>
            <w:r w:rsidRPr="00781948">
              <w:rPr>
                <w:sz w:val="18"/>
                <w:szCs w:val="18"/>
                <w:lang w:val="id-ID"/>
              </w:rPr>
              <w:t>, Department of Biology, Faculty of Mathematics and Natural Science, Universitas Islam Al-Azhar, Indonesia</w:t>
            </w:r>
          </w:p>
          <w:p w14:paraId="5D94CDCC" w14:textId="77777777" w:rsidR="00C666AF" w:rsidRPr="00781948" w:rsidRDefault="00000000">
            <w:pPr>
              <w:rPr>
                <w:sz w:val="18"/>
                <w:szCs w:val="18"/>
                <w:lang w:val="id-ID"/>
              </w:rPr>
            </w:pPr>
            <w:r w:rsidRPr="00781948">
              <w:rPr>
                <w:sz w:val="18"/>
                <w:szCs w:val="18"/>
                <w:lang w:val="id-ID"/>
              </w:rPr>
              <w:t xml:space="preserve">Email: </w:t>
            </w:r>
            <w:hyperlink r:id="rId12" w:history="1">
              <w:r w:rsidR="00C666AF" w:rsidRPr="00781948">
                <w:rPr>
                  <w:rStyle w:val="Hyperlink"/>
                  <w:sz w:val="18"/>
                  <w:szCs w:val="18"/>
                  <w:lang w:val="id-ID"/>
                </w:rPr>
                <w:t>meilindapahriana@unizar.ac.id</w:t>
              </w:r>
            </w:hyperlink>
            <w:r w:rsidRPr="00781948">
              <w:rPr>
                <w:sz w:val="18"/>
                <w:szCs w:val="18"/>
                <w:lang w:val="id-ID"/>
              </w:rPr>
              <w:t xml:space="preserve">  </w:t>
            </w:r>
          </w:p>
        </w:tc>
        <w:tc>
          <w:tcPr>
            <w:tcW w:w="6486" w:type="dxa"/>
            <w:vMerge w:val="restart"/>
            <w:tcBorders>
              <w:left w:val="single" w:sz="4" w:space="0" w:color="auto"/>
            </w:tcBorders>
            <w:shd w:val="clear" w:color="auto" w:fill="auto"/>
          </w:tcPr>
          <w:p w14:paraId="30A7E5DA" w14:textId="621DDFA6" w:rsidR="00C666AF" w:rsidRPr="00781948" w:rsidRDefault="00000000" w:rsidP="00B04E91">
            <w:pPr>
              <w:jc w:val="both"/>
              <w:rPr>
                <w:rFonts w:eastAsia="Calibri"/>
                <w:sz w:val="20"/>
                <w:szCs w:val="20"/>
                <w:lang w:val="id-ID"/>
              </w:rPr>
            </w:pPr>
            <w:r w:rsidRPr="00781948">
              <w:rPr>
                <w:rStyle w:val="StyleAbstractItalicChar"/>
                <w:i w:val="0"/>
                <w:sz w:val="20"/>
                <w:szCs w:val="20"/>
                <w:lang w:val="id-ID"/>
              </w:rPr>
              <w:t>Abstract</w:t>
            </w:r>
            <w:r w:rsidR="00B95A5D">
              <w:rPr>
                <w:rStyle w:val="StyleAbstractItalicChar"/>
                <w:i w:val="0"/>
                <w:sz w:val="20"/>
                <w:szCs w:val="20"/>
                <w:lang w:val="id-ID"/>
              </w:rPr>
              <w:t xml:space="preserve">: </w:t>
            </w:r>
            <w:r w:rsidRPr="00781948">
              <w:rPr>
                <w:rFonts w:eastAsia="Calibri"/>
                <w:sz w:val="20"/>
                <w:szCs w:val="20"/>
                <w:lang w:val="id-ID"/>
              </w:rPr>
              <w:t>Nature Tourism Parks (TWA) Gunung Tunak primarily serves the purpose of nature conservation, emphasizing ecotourism due to its stunning coastal landscapes. Currently, there is a significant lack of documented information regarding the diversity and potential of macrofungi in this protected area. This study aims to assess the diversity of macrofungi found within TWA Gunung Tunak and explore their potential applications. The research was conducted using the line transect and plot method, with samples collected along three transect lines in the study area. Each transect comprised ten plots, each measuring 10 x 10 meters and spaced 10 meters apart. The data collected were analyzed using the Shannon Wiener Diversity Index (H')</w:t>
            </w:r>
            <w:r w:rsidR="002B3383" w:rsidRPr="00781948">
              <w:rPr>
                <w:rFonts w:eastAsia="Calibri"/>
                <w:sz w:val="20"/>
                <w:szCs w:val="20"/>
                <w:lang w:val="id-ID"/>
              </w:rPr>
              <w:t xml:space="preserve">. </w:t>
            </w:r>
            <w:r w:rsidRPr="00781948">
              <w:rPr>
                <w:rFonts w:eastAsia="Calibri"/>
                <w:sz w:val="20"/>
                <w:szCs w:val="20"/>
                <w:lang w:val="id-ID"/>
              </w:rPr>
              <w:t xml:space="preserve">A total of 11 species of macrofungi from six families were identified: </w:t>
            </w:r>
            <w:r w:rsidRPr="00781948">
              <w:rPr>
                <w:rFonts w:eastAsia="Calibri"/>
                <w:i/>
                <w:iCs/>
                <w:sz w:val="20"/>
                <w:szCs w:val="20"/>
                <w:lang w:val="id-ID"/>
              </w:rPr>
              <w:t>Polyporaceae</w:t>
            </w:r>
            <w:r w:rsidRPr="00781948">
              <w:rPr>
                <w:rFonts w:eastAsia="Calibri"/>
                <w:sz w:val="20"/>
                <w:szCs w:val="20"/>
                <w:lang w:val="id-ID"/>
              </w:rPr>
              <w:t xml:space="preserve">, </w:t>
            </w:r>
            <w:r w:rsidRPr="00781948">
              <w:rPr>
                <w:rFonts w:eastAsia="Calibri"/>
                <w:i/>
                <w:iCs/>
                <w:sz w:val="20"/>
                <w:szCs w:val="20"/>
                <w:lang w:val="id-ID"/>
              </w:rPr>
              <w:t>Irpicaceae</w:t>
            </w:r>
            <w:r w:rsidRPr="00781948">
              <w:rPr>
                <w:rFonts w:eastAsia="Calibri"/>
                <w:sz w:val="20"/>
                <w:szCs w:val="20"/>
                <w:lang w:val="id-ID"/>
              </w:rPr>
              <w:t xml:space="preserve">, </w:t>
            </w:r>
            <w:r w:rsidRPr="00781948">
              <w:rPr>
                <w:rFonts w:eastAsia="Calibri"/>
                <w:i/>
                <w:iCs/>
                <w:sz w:val="20"/>
                <w:szCs w:val="20"/>
                <w:lang w:val="id-ID"/>
              </w:rPr>
              <w:t>Hymenochaetaceae</w:t>
            </w:r>
            <w:r w:rsidRPr="00781948">
              <w:rPr>
                <w:rFonts w:eastAsia="Calibri"/>
                <w:sz w:val="20"/>
                <w:szCs w:val="20"/>
                <w:lang w:val="id-ID"/>
              </w:rPr>
              <w:t xml:space="preserve">, </w:t>
            </w:r>
            <w:r w:rsidRPr="00781948">
              <w:rPr>
                <w:rFonts w:eastAsia="Calibri"/>
                <w:i/>
                <w:iCs/>
                <w:sz w:val="20"/>
                <w:szCs w:val="20"/>
                <w:lang w:val="id-ID"/>
              </w:rPr>
              <w:t>Gloeophyllaceae</w:t>
            </w:r>
            <w:r w:rsidRPr="00781948">
              <w:rPr>
                <w:rFonts w:eastAsia="Calibri"/>
                <w:sz w:val="20"/>
                <w:szCs w:val="20"/>
                <w:lang w:val="id-ID"/>
              </w:rPr>
              <w:t xml:space="preserve">, </w:t>
            </w:r>
            <w:r w:rsidRPr="00781948">
              <w:rPr>
                <w:rFonts w:eastAsia="Calibri"/>
                <w:i/>
                <w:iCs/>
                <w:sz w:val="20"/>
                <w:szCs w:val="20"/>
                <w:lang w:val="id-ID"/>
              </w:rPr>
              <w:t>Stereaceae</w:t>
            </w:r>
            <w:r w:rsidRPr="00781948">
              <w:rPr>
                <w:rFonts w:eastAsia="Calibri"/>
                <w:sz w:val="20"/>
                <w:szCs w:val="20"/>
                <w:lang w:val="id-ID"/>
              </w:rPr>
              <w:t xml:space="preserve">, and Xylariaceae. The family </w:t>
            </w:r>
            <w:r w:rsidRPr="00781948">
              <w:rPr>
                <w:rFonts w:eastAsia="Calibri"/>
                <w:i/>
                <w:iCs/>
                <w:sz w:val="20"/>
                <w:szCs w:val="20"/>
                <w:lang w:val="id-ID"/>
              </w:rPr>
              <w:t>Polyporaceae</w:t>
            </w:r>
            <w:r w:rsidRPr="00781948">
              <w:rPr>
                <w:rFonts w:eastAsia="Calibri"/>
                <w:sz w:val="20"/>
                <w:szCs w:val="20"/>
                <w:lang w:val="id-ID"/>
              </w:rPr>
              <w:t xml:space="preserve"> had the highest representation, with five species (</w:t>
            </w:r>
            <w:r w:rsidRPr="00781948">
              <w:rPr>
                <w:rFonts w:eastAsia="Calibri"/>
                <w:i/>
                <w:iCs/>
                <w:sz w:val="20"/>
                <w:szCs w:val="20"/>
                <w:lang w:val="id-ID"/>
              </w:rPr>
              <w:t xml:space="preserve">Hexagonia </w:t>
            </w:r>
            <w:r w:rsidRPr="00781948">
              <w:rPr>
                <w:rFonts w:eastAsia="Calibri"/>
                <w:sz w:val="20"/>
                <w:szCs w:val="20"/>
                <w:lang w:val="id-ID"/>
              </w:rPr>
              <w:t xml:space="preserve">sp., </w:t>
            </w:r>
            <w:r w:rsidRPr="00781948">
              <w:rPr>
                <w:rFonts w:eastAsia="Calibri"/>
                <w:i/>
                <w:iCs/>
                <w:sz w:val="20"/>
                <w:szCs w:val="20"/>
                <w:lang w:val="id-ID"/>
              </w:rPr>
              <w:t xml:space="preserve">Trametes </w:t>
            </w:r>
            <w:r w:rsidRPr="00781948">
              <w:rPr>
                <w:rFonts w:eastAsia="Calibri"/>
                <w:sz w:val="20"/>
                <w:szCs w:val="20"/>
                <w:lang w:val="id-ID"/>
              </w:rPr>
              <w:t xml:space="preserve">sp., </w:t>
            </w:r>
            <w:r w:rsidRPr="00781948">
              <w:rPr>
                <w:rFonts w:eastAsia="Calibri"/>
                <w:i/>
                <w:iCs/>
                <w:sz w:val="20"/>
                <w:szCs w:val="20"/>
                <w:lang w:val="id-ID"/>
              </w:rPr>
              <w:t xml:space="preserve">Microporus </w:t>
            </w:r>
            <w:r w:rsidRPr="00781948">
              <w:rPr>
                <w:rFonts w:eastAsia="Calibri"/>
                <w:sz w:val="20"/>
                <w:szCs w:val="20"/>
                <w:lang w:val="id-ID"/>
              </w:rPr>
              <w:t xml:space="preserve">sp., </w:t>
            </w:r>
            <w:r w:rsidRPr="00781948">
              <w:rPr>
                <w:rFonts w:eastAsia="Calibri"/>
                <w:i/>
                <w:iCs/>
                <w:sz w:val="20"/>
                <w:szCs w:val="20"/>
                <w:lang w:val="id-ID"/>
              </w:rPr>
              <w:t xml:space="preserve">Daedalopsis </w:t>
            </w:r>
            <w:r w:rsidRPr="00781948">
              <w:rPr>
                <w:rFonts w:eastAsia="Calibri"/>
                <w:sz w:val="20"/>
                <w:szCs w:val="20"/>
                <w:lang w:val="id-ID"/>
              </w:rPr>
              <w:t xml:space="preserve">sp., and </w:t>
            </w:r>
            <w:r w:rsidRPr="00781948">
              <w:rPr>
                <w:rFonts w:eastAsia="Calibri"/>
                <w:i/>
                <w:iCs/>
                <w:sz w:val="20"/>
                <w:szCs w:val="20"/>
                <w:lang w:val="id-ID"/>
              </w:rPr>
              <w:t xml:space="preserve">Podofomes </w:t>
            </w:r>
            <w:r w:rsidRPr="00781948">
              <w:rPr>
                <w:rFonts w:eastAsia="Calibri"/>
                <w:sz w:val="20"/>
                <w:szCs w:val="20"/>
                <w:lang w:val="id-ID"/>
              </w:rPr>
              <w:t xml:space="preserve">sp.), followed by </w:t>
            </w:r>
            <w:r w:rsidRPr="00781948">
              <w:rPr>
                <w:rFonts w:eastAsia="Calibri"/>
                <w:i/>
                <w:iCs/>
                <w:sz w:val="20"/>
                <w:szCs w:val="20"/>
                <w:lang w:val="id-ID"/>
              </w:rPr>
              <w:t>Hymenochaetaceae</w:t>
            </w:r>
            <w:r w:rsidRPr="00781948">
              <w:rPr>
                <w:rFonts w:eastAsia="Calibri"/>
                <w:sz w:val="20"/>
                <w:szCs w:val="20"/>
                <w:lang w:val="id-ID"/>
              </w:rPr>
              <w:t xml:space="preserve">, which included the species </w:t>
            </w:r>
            <w:r w:rsidRPr="00781948">
              <w:rPr>
                <w:rFonts w:eastAsia="Calibri"/>
                <w:i/>
                <w:iCs/>
                <w:sz w:val="20"/>
                <w:szCs w:val="20"/>
                <w:lang w:val="id-ID"/>
              </w:rPr>
              <w:t xml:space="preserve">Phylloporia </w:t>
            </w:r>
            <w:r w:rsidRPr="00781948">
              <w:rPr>
                <w:rFonts w:eastAsia="Calibri"/>
                <w:sz w:val="20"/>
                <w:szCs w:val="20"/>
                <w:lang w:val="id-ID"/>
              </w:rPr>
              <w:t xml:space="preserve">sp. and </w:t>
            </w:r>
            <w:r w:rsidRPr="00781948">
              <w:rPr>
                <w:rFonts w:eastAsia="Calibri"/>
                <w:i/>
                <w:iCs/>
                <w:sz w:val="20"/>
                <w:szCs w:val="20"/>
                <w:lang w:val="id-ID"/>
              </w:rPr>
              <w:t xml:space="preserve">Phellinus </w:t>
            </w:r>
            <w:r w:rsidRPr="00781948">
              <w:rPr>
                <w:rFonts w:eastAsia="Calibri"/>
                <w:sz w:val="20"/>
                <w:szCs w:val="20"/>
                <w:lang w:val="id-ID"/>
              </w:rPr>
              <w:t xml:space="preserve">sp. The remaining families were represented by only one species each, including </w:t>
            </w:r>
            <w:r w:rsidRPr="00781948">
              <w:rPr>
                <w:rFonts w:eastAsia="Calibri"/>
                <w:i/>
                <w:iCs/>
                <w:sz w:val="20"/>
                <w:szCs w:val="20"/>
                <w:lang w:val="id-ID"/>
              </w:rPr>
              <w:t xml:space="preserve">Irpicaceae </w:t>
            </w:r>
            <w:r w:rsidRPr="00781948">
              <w:rPr>
                <w:rFonts w:eastAsia="Calibri"/>
                <w:sz w:val="20"/>
                <w:szCs w:val="20"/>
                <w:lang w:val="id-ID"/>
              </w:rPr>
              <w:t>(</w:t>
            </w:r>
            <w:r w:rsidRPr="00781948">
              <w:rPr>
                <w:rFonts w:eastAsia="Calibri"/>
                <w:i/>
                <w:iCs/>
                <w:sz w:val="20"/>
                <w:szCs w:val="20"/>
                <w:lang w:val="id-ID"/>
              </w:rPr>
              <w:t xml:space="preserve">Irpex </w:t>
            </w:r>
            <w:r w:rsidRPr="00781948">
              <w:rPr>
                <w:rFonts w:eastAsia="Calibri"/>
                <w:sz w:val="20"/>
                <w:szCs w:val="20"/>
                <w:lang w:val="id-ID"/>
              </w:rPr>
              <w:t xml:space="preserve">sp.), </w:t>
            </w:r>
            <w:r w:rsidRPr="00781948">
              <w:rPr>
                <w:rFonts w:eastAsia="Calibri"/>
                <w:i/>
                <w:iCs/>
                <w:sz w:val="20"/>
                <w:szCs w:val="20"/>
                <w:lang w:val="id-ID"/>
              </w:rPr>
              <w:t xml:space="preserve">Gloeophyllaceae </w:t>
            </w:r>
            <w:r w:rsidRPr="00781948">
              <w:rPr>
                <w:rFonts w:eastAsia="Calibri"/>
                <w:sz w:val="20"/>
                <w:szCs w:val="20"/>
                <w:lang w:val="id-ID"/>
              </w:rPr>
              <w:t>(</w:t>
            </w:r>
            <w:r w:rsidRPr="00781948">
              <w:rPr>
                <w:rFonts w:eastAsia="Calibri"/>
                <w:i/>
                <w:iCs/>
                <w:sz w:val="20"/>
                <w:szCs w:val="20"/>
                <w:lang w:val="id-ID"/>
              </w:rPr>
              <w:t xml:space="preserve">Gloeophyllum </w:t>
            </w:r>
            <w:r w:rsidRPr="00781948">
              <w:rPr>
                <w:rFonts w:eastAsia="Calibri"/>
                <w:sz w:val="20"/>
                <w:szCs w:val="20"/>
                <w:lang w:val="id-ID"/>
              </w:rPr>
              <w:t xml:space="preserve">sp.), </w:t>
            </w:r>
            <w:r w:rsidRPr="00781948">
              <w:rPr>
                <w:rFonts w:eastAsia="Calibri"/>
                <w:i/>
                <w:iCs/>
                <w:sz w:val="20"/>
                <w:szCs w:val="20"/>
                <w:lang w:val="id-ID"/>
              </w:rPr>
              <w:t xml:space="preserve">Stereaceae </w:t>
            </w:r>
            <w:r w:rsidRPr="00781948">
              <w:rPr>
                <w:rFonts w:eastAsia="Calibri"/>
                <w:sz w:val="20"/>
                <w:szCs w:val="20"/>
                <w:lang w:val="id-ID"/>
              </w:rPr>
              <w:t>(</w:t>
            </w:r>
            <w:r w:rsidRPr="00781948">
              <w:rPr>
                <w:rFonts w:eastAsia="Calibri"/>
                <w:i/>
                <w:iCs/>
                <w:sz w:val="20"/>
                <w:szCs w:val="20"/>
                <w:lang w:val="id-ID"/>
              </w:rPr>
              <w:t xml:space="preserve">Stereum </w:t>
            </w:r>
            <w:r w:rsidRPr="00781948">
              <w:rPr>
                <w:rFonts w:eastAsia="Calibri"/>
                <w:sz w:val="20"/>
                <w:szCs w:val="20"/>
                <w:lang w:val="id-ID"/>
              </w:rPr>
              <w:t xml:space="preserve">sp.), and </w:t>
            </w:r>
            <w:r w:rsidRPr="00781948">
              <w:rPr>
                <w:rFonts w:eastAsia="Calibri"/>
                <w:i/>
                <w:iCs/>
                <w:sz w:val="20"/>
                <w:szCs w:val="20"/>
                <w:lang w:val="id-ID"/>
              </w:rPr>
              <w:t xml:space="preserve">Xylariaceae </w:t>
            </w:r>
            <w:r w:rsidRPr="00781948">
              <w:rPr>
                <w:rFonts w:eastAsia="Calibri"/>
                <w:sz w:val="20"/>
                <w:szCs w:val="20"/>
                <w:lang w:val="id-ID"/>
              </w:rPr>
              <w:t>(</w:t>
            </w:r>
            <w:r w:rsidRPr="00781948">
              <w:rPr>
                <w:rFonts w:eastAsia="Calibri"/>
                <w:i/>
                <w:iCs/>
                <w:sz w:val="20"/>
                <w:szCs w:val="20"/>
                <w:lang w:val="id-ID"/>
              </w:rPr>
              <w:t xml:space="preserve">Xylaria </w:t>
            </w:r>
            <w:r w:rsidRPr="00781948">
              <w:rPr>
                <w:rFonts w:eastAsia="Calibri"/>
                <w:sz w:val="20"/>
                <w:szCs w:val="20"/>
                <w:lang w:val="id-ID"/>
              </w:rPr>
              <w:t>sp.). The diversity index indicates a moderate level of macrofungal diversity from all the trails in the study area, influenced by environmental factors such as temperature, seasonal changes, moisture, and rainfall. Furthermore, the study highlights the potential of these macrofungal species as sources of medicinal and nutritional value.</w:t>
            </w:r>
          </w:p>
          <w:p w14:paraId="3429A567" w14:textId="77777777" w:rsidR="00C666AF" w:rsidRPr="00781948" w:rsidRDefault="00C666AF" w:rsidP="00B04E91">
            <w:pPr>
              <w:pStyle w:val="Abstract"/>
              <w:spacing w:after="0"/>
              <w:jc w:val="left"/>
              <w:rPr>
                <w:b w:val="0"/>
                <w:sz w:val="20"/>
                <w:szCs w:val="20"/>
                <w:lang w:val="id-ID"/>
              </w:rPr>
            </w:pPr>
          </w:p>
          <w:p w14:paraId="5CC4C747" w14:textId="228DC04D" w:rsidR="00C666AF" w:rsidRPr="00781948" w:rsidRDefault="00000000" w:rsidP="00B04E91">
            <w:pPr>
              <w:rPr>
                <w:sz w:val="20"/>
                <w:szCs w:val="20"/>
                <w:lang w:val="id-ID"/>
              </w:rPr>
            </w:pPr>
            <w:r w:rsidRPr="00781948">
              <w:rPr>
                <w:b/>
                <w:sz w:val="20"/>
                <w:szCs w:val="20"/>
                <w:lang w:val="id-ID"/>
              </w:rPr>
              <w:t>Keywords:</w:t>
            </w:r>
            <w:r w:rsidRPr="00781948">
              <w:rPr>
                <w:sz w:val="20"/>
                <w:szCs w:val="20"/>
                <w:lang w:val="id-ID"/>
              </w:rPr>
              <w:t xml:space="preserve"> Diversity, </w:t>
            </w:r>
            <w:r w:rsidR="00EB760A">
              <w:rPr>
                <w:sz w:val="20"/>
                <w:szCs w:val="20"/>
                <w:lang w:val="id-ID"/>
              </w:rPr>
              <w:t>i</w:t>
            </w:r>
            <w:r w:rsidR="00BA7098" w:rsidRPr="00781948">
              <w:rPr>
                <w:sz w:val="20"/>
                <w:szCs w:val="20"/>
                <w:lang w:val="id-ID"/>
              </w:rPr>
              <w:t>dentification</w:t>
            </w:r>
            <w:r w:rsidR="00BA7098">
              <w:rPr>
                <w:sz w:val="20"/>
                <w:szCs w:val="20"/>
                <w:lang w:val="id-ID"/>
              </w:rPr>
              <w:t xml:space="preserve">, </w:t>
            </w:r>
            <w:r w:rsidR="00EB760A">
              <w:rPr>
                <w:sz w:val="20"/>
                <w:szCs w:val="20"/>
                <w:lang w:val="id-ID"/>
              </w:rPr>
              <w:t>m</w:t>
            </w:r>
            <w:r w:rsidR="00BA7098" w:rsidRPr="00781948">
              <w:rPr>
                <w:sz w:val="20"/>
                <w:szCs w:val="20"/>
                <w:lang w:val="id-ID"/>
              </w:rPr>
              <w:t>acrofungi</w:t>
            </w:r>
            <w:r w:rsidR="00BA7098">
              <w:rPr>
                <w:sz w:val="20"/>
                <w:szCs w:val="20"/>
                <w:lang w:val="id-ID"/>
              </w:rPr>
              <w:t xml:space="preserve">, </w:t>
            </w:r>
            <w:r w:rsidR="00BA7098" w:rsidRPr="00781948">
              <w:rPr>
                <w:sz w:val="20"/>
                <w:szCs w:val="20"/>
                <w:lang w:val="id-ID"/>
              </w:rPr>
              <w:t>TWA Gunung Tuna</w:t>
            </w:r>
            <w:r w:rsidR="00BA7098">
              <w:rPr>
                <w:sz w:val="20"/>
                <w:szCs w:val="20"/>
                <w:lang w:val="id-ID"/>
              </w:rPr>
              <w:t xml:space="preserve">. </w:t>
            </w:r>
          </w:p>
        </w:tc>
      </w:tr>
      <w:tr w:rsidR="00C666AF" w:rsidRPr="00781948" w14:paraId="3AB13FB5" w14:textId="77777777">
        <w:trPr>
          <w:trHeight w:val="524"/>
        </w:trPr>
        <w:tc>
          <w:tcPr>
            <w:tcW w:w="2518" w:type="dxa"/>
            <w:vMerge/>
            <w:tcBorders>
              <w:right w:val="single" w:sz="4" w:space="0" w:color="auto"/>
            </w:tcBorders>
            <w:shd w:val="clear" w:color="auto" w:fill="auto"/>
          </w:tcPr>
          <w:p w14:paraId="0708509F" w14:textId="77777777" w:rsidR="00C666AF" w:rsidRPr="00781948" w:rsidRDefault="00C666AF">
            <w:pPr>
              <w:rPr>
                <w:sz w:val="20"/>
                <w:szCs w:val="20"/>
                <w:lang w:val="id-ID"/>
              </w:rPr>
            </w:pPr>
          </w:p>
        </w:tc>
        <w:tc>
          <w:tcPr>
            <w:tcW w:w="6486" w:type="dxa"/>
            <w:vMerge/>
            <w:tcBorders>
              <w:left w:val="single" w:sz="4" w:space="0" w:color="auto"/>
            </w:tcBorders>
            <w:shd w:val="clear" w:color="auto" w:fill="auto"/>
            <w:vAlign w:val="center"/>
          </w:tcPr>
          <w:p w14:paraId="65098E9E" w14:textId="77777777" w:rsidR="00C666AF" w:rsidRPr="00781948" w:rsidRDefault="00C666AF">
            <w:pPr>
              <w:rPr>
                <w:sz w:val="20"/>
                <w:szCs w:val="20"/>
                <w:lang w:val="id-ID"/>
              </w:rPr>
            </w:pPr>
          </w:p>
        </w:tc>
      </w:tr>
    </w:tbl>
    <w:p w14:paraId="3CE5C358" w14:textId="77777777" w:rsidR="00C666AF" w:rsidRDefault="00C666AF">
      <w:pPr>
        <w:rPr>
          <w:bCs/>
          <w:iCs/>
          <w:sz w:val="22"/>
          <w:szCs w:val="22"/>
          <w:lang w:val="id-ID"/>
        </w:rPr>
      </w:pPr>
    </w:p>
    <w:p w14:paraId="14A9CF15" w14:textId="77777777" w:rsidR="00EB760A" w:rsidRPr="00EB760A" w:rsidRDefault="00EB760A">
      <w:pPr>
        <w:rPr>
          <w:bCs/>
          <w:iCs/>
          <w:sz w:val="22"/>
          <w:szCs w:val="22"/>
          <w:lang w:val="id-ID"/>
        </w:rPr>
      </w:pPr>
    </w:p>
    <w:p w14:paraId="465E05C0" w14:textId="77777777" w:rsidR="00C666AF" w:rsidRPr="00781948" w:rsidRDefault="00C666AF">
      <w:pPr>
        <w:widowControl w:val="0"/>
        <w:autoSpaceDE w:val="0"/>
        <w:autoSpaceDN w:val="0"/>
        <w:adjustRightInd w:val="0"/>
        <w:spacing w:after="240"/>
        <w:rPr>
          <w:sz w:val="20"/>
          <w:szCs w:val="20"/>
          <w:lang w:val="id-ID"/>
        </w:rPr>
        <w:sectPr w:rsidR="00C666AF" w:rsidRPr="00781948">
          <w:headerReference w:type="default" r:id="rId13"/>
          <w:footerReference w:type="default" r:id="rId14"/>
          <w:headerReference w:type="first" r:id="rId15"/>
          <w:footerReference w:type="first" r:id="rId16"/>
          <w:type w:val="continuous"/>
          <w:pgSz w:w="11894" w:h="16157" w:code="9"/>
          <w:pgMar w:top="1440" w:right="1440" w:bottom="1440" w:left="1440" w:header="1138" w:footer="941" w:gutter="0"/>
          <w:cols w:space="708"/>
          <w:titlePg/>
          <w:docGrid w:linePitch="360"/>
        </w:sectPr>
      </w:pPr>
    </w:p>
    <w:p w14:paraId="0522810F" w14:textId="77777777" w:rsidR="00C666AF" w:rsidRPr="00781948" w:rsidRDefault="00000000">
      <w:pPr>
        <w:widowControl w:val="0"/>
        <w:autoSpaceDE w:val="0"/>
        <w:autoSpaceDN w:val="0"/>
        <w:adjustRightInd w:val="0"/>
        <w:jc w:val="both"/>
        <w:rPr>
          <w:b/>
          <w:sz w:val="22"/>
          <w:szCs w:val="22"/>
          <w:lang w:val="id-ID"/>
        </w:rPr>
      </w:pPr>
      <w:r w:rsidRPr="00781948">
        <w:rPr>
          <w:b/>
          <w:sz w:val="22"/>
          <w:szCs w:val="22"/>
          <w:lang w:val="id-ID"/>
        </w:rPr>
        <w:t>Introduction</w:t>
      </w:r>
    </w:p>
    <w:p w14:paraId="6A87CA1E" w14:textId="77777777" w:rsidR="00C666AF" w:rsidRPr="00781948" w:rsidRDefault="00C666AF">
      <w:pPr>
        <w:widowControl w:val="0"/>
        <w:autoSpaceDE w:val="0"/>
        <w:autoSpaceDN w:val="0"/>
        <w:adjustRightInd w:val="0"/>
        <w:jc w:val="both"/>
        <w:rPr>
          <w:b/>
          <w:sz w:val="22"/>
          <w:szCs w:val="22"/>
          <w:lang w:val="id-ID"/>
        </w:rPr>
      </w:pPr>
    </w:p>
    <w:p w14:paraId="1860C30C" w14:textId="79B6015C" w:rsidR="00562EB5" w:rsidRPr="00781948" w:rsidRDefault="00562EB5" w:rsidP="00087362">
      <w:pPr>
        <w:widowControl w:val="0"/>
        <w:ind w:firstLine="540"/>
        <w:jc w:val="both"/>
        <w:rPr>
          <w:rFonts w:eastAsia="Times New Roman"/>
          <w:sz w:val="22"/>
          <w:szCs w:val="22"/>
          <w:lang w:val="id-ID"/>
        </w:rPr>
      </w:pPr>
      <w:r w:rsidRPr="00781948">
        <w:rPr>
          <w:rFonts w:eastAsia="Times New Roman"/>
          <w:sz w:val="22"/>
          <w:szCs w:val="22"/>
          <w:lang w:val="id-ID"/>
        </w:rPr>
        <w:t xml:space="preserve">Biodiversity is a crucial aspecy in maintaining global </w:t>
      </w:r>
      <w:r w:rsidRPr="00781948">
        <w:rPr>
          <w:rFonts w:eastAsia="Times New Roman"/>
          <w:sz w:val="22"/>
          <w:szCs w:val="22"/>
          <w:lang w:val="id-ID" w:eastAsia="id-ID"/>
        </w:rPr>
        <w:t>ecosystem</w:t>
      </w:r>
      <w:r w:rsidRPr="00781948">
        <w:rPr>
          <w:rFonts w:eastAsia="Times New Roman"/>
          <w:sz w:val="22"/>
          <w:szCs w:val="22"/>
          <w:lang w:val="id-ID"/>
        </w:rPr>
        <w:t xml:space="preserve"> balance. Indonesia as one of the countries with the highest biological richness, heavily relies on comprehensive biodiversity data to formulate effective resource conservation strategies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{"citationID":"kJoU5ov9","properties":{"formattedCitation":"(Putra et al., 2018)","plainCitation":"(Putra et al., 2018)","noteIndex":0},"citationItems":[{"id":"n67l8Wxv/qg3plqkA","uris":["http://zotero.org/users/local/aclxgGd8/items/GK948YLW"],"itemData":{"id":60,"type":"article-journal","abstract":"AbstrakTaman Wisata Mekarsari (TWM) merupakan salah satu daerah penyangga ekosistem dan pusat pelestarian keanekaragaman hayati di Indonesia. Keragaman jamur makro asal serasah dan tanah di TWM belum pernah dilaporkan sebelumnya. Jamur merupakan organisme penting dalam siklus materi karena kemampuannya mendegradasi bahan organik pada ekosistem. Tujuan dari penelitian ini adalah untuk menyediakan informasi mengenai keragaman jamur makro di TWM untuk pemanfaatan potensinya di masa mendatang. Sebanyak 20 jenis dan 16 genus jamur makro berhasil dikoleksi dari TMW pada penelitian ini. Identifikasi jamur dilakukan dengan menggunakan berbagai karakter makroskopik. Pada tulisan ini dijelaskan cara deskripsi karakter makroskopik untuk membantu identifikasi jamur. Jamur yang berhasil diidentifikasi pada penelitian ini adalah Amanita sp.1, Amanita sp.2, Auricularia sp., Collybia sp., Clitocybe sp., Crepidotus sp., Cyathus sp., Ganoderma sp., Lepiota sp.1, Lepiota sp.2, Marasmius sp., Naucoria sp.1, Naucoria sp.2, Omphalina sp., Panaeolus sp., Parasola sp.1, Parasola sp.2, Pluteus sp., Scizophyllum sp., dan Xylaria sp. Beberapa jamur yakni Auricularia, Clitocybe, Ganoderma, dan Scizophyllum yang ditemukan berpotensi sebagai bahan pangan dan obat. Inventarisasi data keragaman yang baik akan membantu upaya pengelolaan dan pelestarian kekayaan sumber daya hayati di Indonesia. Abstract Mekarsari Tourism Area (TWM) is one of the buffer zone of ecosystem and biodiversity conservation center in Indonesia. The diversity of macro fungi from the litter and soil in TWM has not been previously reported. Fungi are important organisms in the material cycle because of their ability to degrade organic matter on the ecosystem. In this study, 20 species and 16 genera of mushrooms were collected from TWM. Mushroom identification is performed using various macroscopic characters. The mushrooms identified in this paper are: Amanita sp.1, Amanita sp.2, Auricularia sp., Collybia sp., Clitocybe sp., Crepidotus sp., Cyathus sp., Ganoderma sp., Lepiota sp.1, Lepiota sp.2, Marasmius sp., Naucoria sp.1, Naucoria sp.2, Omphalina sp., Panaeolus sp., Parasola sp.1, Parasola sp.2, Pluteus sp., Scizophyllum sp., and Xylariasp. Some of them were considered  as food and medicinal source. Good inventory of diversity data will assist the management and conservation of the wealth of biological resources in Indonesia.","container-title":"Al-Kauniyah: Jurnal Biologi","DOI":"10.15408/kauniyah.v11i2.6729","ISSN":"2502-6720, 1978-3736","issue":"2","journalAbbreviation":"Al-Kauniyah J. Biol.","note":"number: 2","page":"133-150","source":"DOI.org (Crossref)","title":"RAGAM DAN POTENSI JAMUR MAKRO ASAL TAMAN WISATA MEKARSARI JAWA BARAT","volume":"11","author":[{"family":"Putra","given":"Ivan Permana"},{"family":"Sitompul","given":"Rahmadi"},{"family":"Chalisya","given":"Nadiah"}],"issued":{"date-parts":[["2018",10,23]]}}}],"schema":"https://github.com/citation-style-language/schema/raw/master/csl-citation.json"}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(Putra et al., 2018)</w:t>
      </w:r>
      <w:r w:rsidRPr="00781948">
        <w:rPr>
          <w:rFonts w:eastAsia="Times New Roman"/>
          <w:sz w:val="22"/>
          <w:szCs w:val="22"/>
          <w:lang w:val="id-ID"/>
        </w:rPr>
        <w:fldChar w:fldCharType="end"/>
      </w:r>
      <w:r w:rsidRPr="00781948">
        <w:rPr>
          <w:rFonts w:eastAsia="Times New Roman"/>
          <w:sz w:val="22"/>
          <w:szCs w:val="22"/>
          <w:lang w:val="id-ID"/>
        </w:rPr>
        <w:t>. Efforts to protect the country's natural biodiversity depend significantly on a deep understanding of various organism groups, including fungi.</w:t>
      </w:r>
    </w:p>
    <w:p w14:paraId="2150B349" w14:textId="2A616D73" w:rsidR="00C666AF" w:rsidRPr="00781948" w:rsidRDefault="00000000" w:rsidP="00F1618F">
      <w:pPr>
        <w:widowControl w:val="0"/>
        <w:ind w:firstLine="540"/>
        <w:jc w:val="both"/>
        <w:rPr>
          <w:rFonts w:eastAsia="Times New Roman"/>
          <w:sz w:val="22"/>
          <w:szCs w:val="22"/>
          <w:lang w:val="id-ID"/>
        </w:rPr>
      </w:pPr>
      <w:r w:rsidRPr="00781948">
        <w:rPr>
          <w:rFonts w:eastAsia="Times New Roman"/>
          <w:sz w:val="22"/>
          <w:szCs w:val="22"/>
          <w:lang w:val="id-ID"/>
        </w:rPr>
        <w:t xml:space="preserve">Fungi, especially the macrofungi group which comprises mushrooms and other noticeable fungal forms, are a significant </w:t>
      </w:r>
      <w:r w:rsidRPr="00781948">
        <w:rPr>
          <w:rFonts w:eastAsia="Times New Roman"/>
          <w:sz w:val="22"/>
          <w:szCs w:val="22"/>
          <w:lang w:val="id-ID" w:eastAsia="id-ID"/>
        </w:rPr>
        <w:t>yet</w:t>
      </w:r>
      <w:r w:rsidRPr="00781948">
        <w:rPr>
          <w:rFonts w:eastAsia="Times New Roman"/>
          <w:sz w:val="22"/>
          <w:szCs w:val="22"/>
          <w:lang w:val="id-ID"/>
        </w:rPr>
        <w:t xml:space="preserve"> often overlooked component of Indonesia's biodiversity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{"citationID":"wSpomG6m","properties":{"formattedCitation":"(Nurdiyanti et al., 2020)","plainCitation":"(Nurdiyanti et al., 2020)","noteIndex":0},"citationItems":[{"id":"n67l8Wxv/dIEVjkNQ","uris":["http://zotero.org/users/local/aclxgGd8/items/D5CBEBSK"],"itemData":{"id":78,"type":"article-journal","abstract":"Marore Island (Province of North Sulawesi) is one of the outermost island in Indonesia. The island is located at the borderline within the Philippines. Till date, there is no publication about islands macrofungi diversity from this island. In fact, the diversity of macrofungi has the potency to support the development of global bioeconomic in Indonesia. The purpose of this study is to make an inventory list of macrofungi on Marore Island in order to enhance the potential in the future. A total was of 22 mushrooms from 13 genera were obtained from this study which were divided into two phylums, namely Basidiomycota and Ascomycota. The identification results confirmed the species obtained: Ganoderma sp.1, Ganoderma sp.2, Ganoderma sp.3, Ganoderma sp.4, Ganoderma sp.5, Ganoderma sp.6, Trametes sp.1, Trametes sp.2, Trametes sp.3, Pycnoporus sp.1, Pycnoporus sp.2, Polyporus sp., Daedalea sp., Lentinus sp., Marasmius sp.1, Marasmius sp.2, Schizophyllum sp., Panellus sp., Tricholoma sp., Phallus sp., Dacryopinax spathularia, and Daldinia sp.","container-title":"Jurnal Sumberdaya Hayati","DOI":"10.29244/jsdh.6.2.56-66","ISSN":"2477-037X","issue":"2","journalAbbreviation":"JSDH","note":"number: 2","page":"56-66","source":"DOI.org (Crossref)","title":"Catatan Diversitas Jamur di Salah Satu Pulau Terluar Republik Indonesia: Notes on the Diversity of Macrofungi at one of the Outermost Islands in the Republic of Indonesia","title-short":"Catatan Diversitas Jamur di Salah Satu Pulau Terluar Republik Indonesia","volume":"6","author":[{"family":"Nurdiyanti","given":"Meilisa Dwi"},{"family":"Suharti","given":"Asrie"},{"family":"Amelya","given":"Mega Putri"},{"family":"Putra","given":"Ivan Permana"}],"issued":{"date-parts":[["2020",12,31]]}}}],"schema":"https://github.com/citation-style-language/schema/raw/master/csl-citation.json"}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(Nurdiyanti et al., 2020)</w:t>
      </w:r>
      <w:r w:rsidRPr="00781948">
        <w:rPr>
          <w:rFonts w:eastAsia="Times New Roman"/>
          <w:sz w:val="22"/>
          <w:szCs w:val="22"/>
          <w:lang w:val="id-ID"/>
        </w:rPr>
        <w:fldChar w:fldCharType="end"/>
      </w:r>
      <w:r w:rsidRPr="00781948">
        <w:rPr>
          <w:rFonts w:eastAsia="Times New Roman"/>
          <w:sz w:val="22"/>
          <w:szCs w:val="22"/>
          <w:lang w:val="id-ID"/>
        </w:rPr>
        <w:t>.</w:t>
      </w:r>
      <w:r w:rsidR="00562EB5" w:rsidRPr="00781948">
        <w:rPr>
          <w:rFonts w:eastAsia="Times New Roman"/>
          <w:sz w:val="22"/>
          <w:szCs w:val="22"/>
          <w:lang w:val="id-ID"/>
        </w:rPr>
        <w:t xml:space="preserve"> </w:t>
      </w:r>
      <w:r w:rsidR="00F82235" w:rsidRPr="00781948">
        <w:rPr>
          <w:rFonts w:eastAsia="Times New Roman"/>
          <w:sz w:val="22"/>
          <w:szCs w:val="22"/>
          <w:lang w:val="id-ID"/>
        </w:rPr>
        <w:t xml:space="preserve">With an estimated number of fungal species in Indonesia </w:t>
      </w:r>
      <w:r w:rsidR="00F82235" w:rsidRPr="00781948">
        <w:rPr>
          <w:rFonts w:eastAsia="Times New Roman"/>
          <w:sz w:val="22"/>
          <w:szCs w:val="22"/>
          <w:lang w:val="id-ID"/>
        </w:rPr>
        <w:t xml:space="preserve">reaching approximately 200,000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{"citationID":"GuEj29c8","properties":{"formattedCitation":"(Gandjar et al., 2006)","plainCitation":"(Gandjar et al., 2006)","noteIndex":0},"citationItems":[{"id":"n67l8Wxv/BBOCxCIA","uris":["http://zotero.org/users/local/aclxgGd8/items/82ULM2RK"],"itemData":{"id":80,"type":"book","event-place":"Jakarta","ISBN":"602-433-242-4","publisher":"Yayasan Pustaka Obor Indonesia","publisher-place":"Jakarta","title":"Mikologi Dasar dan Terapan","author":[{"family":"Gandjar","given":"Indrawati"},{"family":"Sjamsurizal","given":"W."},{"family":"Oetari","given":"A."}],"issued":{"date-parts":[["2006"]]}}}],"schema":"https://github.com/citation-style-language/schema/raw/master/csl-citation.json"}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(Gandjar et al., 2006)</w:t>
      </w:r>
      <w:r w:rsidRPr="00781948">
        <w:rPr>
          <w:rFonts w:eastAsia="Times New Roman"/>
          <w:sz w:val="22"/>
          <w:szCs w:val="22"/>
          <w:lang w:val="id-ID"/>
        </w:rPr>
        <w:fldChar w:fldCharType="end"/>
      </w:r>
      <w:r w:rsidR="00F82235" w:rsidRPr="00781948">
        <w:rPr>
          <w:rFonts w:eastAsia="Times New Roman"/>
          <w:sz w:val="22"/>
          <w:szCs w:val="22"/>
          <w:lang w:val="id-ID"/>
        </w:rPr>
        <w:t xml:space="preserve"> out of </w:t>
      </w:r>
      <w:r w:rsidRPr="00781948">
        <w:rPr>
          <w:rFonts w:eastAsia="Times New Roman"/>
          <w:sz w:val="22"/>
          <w:szCs w:val="22"/>
          <w:lang w:val="id-ID"/>
        </w:rPr>
        <w:t xml:space="preserve">3.8 million species that exist worldwide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{"citationID":"DauPLo1I","properties":{"formattedCitation":"(Hawksworth &amp; L\\uc0\\u252{}cking, 2017)","plainCitation":"(Hawksworth &amp; Lücking, 2017)","noteIndex":0},"citationItems":[{"id":"n67l8Wxv/f2SDye7f","uris":["http://zotero.org/users/local/aclxgGd8/items/VRFZV2TC"],"itemData":{"id":77,"type":"article-journal","abstract":"ABSTRACT\n            \n              The question of how many species of\n              Fungi\n              there are has occasioned much speculation, with figures mostly posited from around half a million to 10 million, and in one extreme case even a sizable portion of the spectacular number of 1 trillion. Here we examine new evidence from various sources to derive an updated estimate of global fungal diversity. The rates and patterns in the description of new species from the 1750s show no sign of approaching an asymptote and even accelerated in the 2010s after the advent of molecular approaches to species delimitation. Species recognition studies of (semi-)cryptic species hidden in morpho-species complexes suggest a weighted average ratio of about an order of magnitude for the number of species recognized after and before such studies. New evidence also comes from extrapolations of plant:fungus ratios, with information now being generated from environmental sequence studies, including comparisons of molecular and fieldwork data from the same sites. We further draw attention to undescribed species awaiting discovery in biodiversity hot spots in the tropics, little-explored habitats (such as lichen-inhabiting fungi), and material in collections awaiting study. We conclude that the commonly cited estimate of 1.5 million species is conservative and that the actual range is properly estimated at 2.2 to 3.8 million. With 120,000 currently accepted species, it appears that at best just 8%, and in the worst case scenario just 3%, are named so far. Improved estimates hinge particularly on reliable statistical and phylogenetic approaches to analyze the rapidly increasing amount of environmental sequence data.","container-title":"Microbiology Spectrum","DOI":"10.1128/microbiolspec.FUNK-0052-2016","ISSN":"2165-0497","issue":"4","journalAbbreviation":"Microbiol Spectr","language":"en","note":"number: 4","page":"5.4.10","source":"DOI.org (Crossref)","title":"Fungal Diversity Revisited: 2.2 to 3.8 Million Species","title-short":"Fungal Diversity Revisited","volume":"5","author":[{"family":"Hawksworth","given":"David L."},{"family":"Lücking","given":"Robert"}],"editor":[{"family":"Heitman","given":"Joseph"},{"family":"James","given":"Timothy Y."}],"issued":{"date-parts":[["2017",8,25]]}}}],"schema":"https://github.com/citation-style-language/schema/raw/master/csl-citation.json"}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(Hawksworth &amp; Lücking, 2017)</w:t>
      </w:r>
      <w:r w:rsidRPr="00781948">
        <w:rPr>
          <w:rFonts w:eastAsia="Times New Roman"/>
          <w:sz w:val="22"/>
          <w:szCs w:val="22"/>
          <w:lang w:val="id-ID"/>
        </w:rPr>
        <w:fldChar w:fldCharType="end"/>
      </w:r>
      <w:r w:rsidR="00F82235" w:rsidRPr="00781948">
        <w:rPr>
          <w:rFonts w:eastAsia="Times New Roman"/>
          <w:sz w:val="22"/>
          <w:szCs w:val="22"/>
          <w:lang w:val="id-ID"/>
        </w:rPr>
        <w:t>, their role in the ecosystems is significant. They</w:t>
      </w:r>
      <w:r w:rsidRPr="00781948">
        <w:rPr>
          <w:rFonts w:eastAsia="Times New Roman"/>
          <w:sz w:val="22"/>
          <w:szCs w:val="22"/>
          <w:lang w:val="id-ID"/>
        </w:rPr>
        <w:t xml:space="preserve"> function as decomposers, nutrient cyclers, and symbiotic partners with plants. Additionally, fungi have considerable economic value, with potential applications as sources of food, medicinal compounds, and enzymes crucial for various biotechnological applications.</w:t>
      </w:r>
    </w:p>
    <w:p w14:paraId="71C5FA1C" w14:textId="27F9F3EB" w:rsidR="00BD1EBB" w:rsidRPr="00781948" w:rsidRDefault="00000000" w:rsidP="00F1618F">
      <w:pPr>
        <w:widowControl w:val="0"/>
        <w:ind w:firstLine="540"/>
        <w:jc w:val="both"/>
        <w:rPr>
          <w:rFonts w:eastAsia="Times New Roman"/>
          <w:sz w:val="22"/>
          <w:szCs w:val="22"/>
          <w:lang w:val="id-ID"/>
        </w:rPr>
      </w:pPr>
      <w:r w:rsidRPr="00781948">
        <w:rPr>
          <w:rFonts w:eastAsia="Times New Roman"/>
          <w:sz w:val="22"/>
          <w:szCs w:val="22"/>
          <w:lang w:val="id-ID"/>
        </w:rPr>
        <w:t xml:space="preserve">Despite their ecological and economic significance, the understanding of fungal species and their potential </w:t>
      </w:r>
      <w:r w:rsidRPr="00781948">
        <w:rPr>
          <w:rFonts w:eastAsia="Times New Roman"/>
          <w:sz w:val="22"/>
          <w:szCs w:val="22"/>
          <w:lang w:val="id-ID" w:eastAsia="id-ID"/>
        </w:rPr>
        <w:t>in</w:t>
      </w:r>
      <w:r w:rsidRPr="00781948">
        <w:rPr>
          <w:rFonts w:eastAsia="Times New Roman"/>
          <w:sz w:val="22"/>
          <w:szCs w:val="22"/>
          <w:lang w:val="id-ID"/>
        </w:rPr>
        <w:t xml:space="preserve"> Indonesia remains limited. Although there is an increasing number of studies focused on identifying fungi in their natural habitats, the biodiversity of fungi has not been fully documented. This knowledge gap poses challenges for effective conservation efforts and </w:t>
      </w:r>
      <w:r w:rsidRPr="00781948">
        <w:rPr>
          <w:rFonts w:eastAsia="Times New Roman"/>
          <w:sz w:val="22"/>
          <w:szCs w:val="22"/>
          <w:lang w:val="id-ID"/>
        </w:rPr>
        <w:lastRenderedPageBreak/>
        <w:t>the sustainable utilization of fungal resources.</w:t>
      </w:r>
      <w:r w:rsidR="00BD1FC5" w:rsidRPr="00781948">
        <w:rPr>
          <w:rFonts w:eastAsia="Times New Roman"/>
          <w:sz w:val="22"/>
          <w:szCs w:val="22"/>
          <w:lang w:val="id-ID"/>
        </w:rPr>
        <w:t xml:space="preserve"> </w:t>
      </w:r>
      <w:r w:rsidRPr="00781948">
        <w:rPr>
          <w:rFonts w:eastAsia="Times New Roman"/>
          <w:sz w:val="22"/>
          <w:szCs w:val="22"/>
          <w:lang w:val="id-ID"/>
        </w:rPr>
        <w:t xml:space="preserve">Lombok </w:t>
      </w:r>
      <w:r w:rsidR="00BD1FC5" w:rsidRPr="00781948">
        <w:rPr>
          <w:rFonts w:eastAsia="Times New Roman"/>
          <w:sz w:val="22"/>
          <w:szCs w:val="22"/>
          <w:lang w:val="id-ID"/>
        </w:rPr>
        <w:t>Island, with its diverse ecosystems and climatic conditions, provides an ideal environment for fungal growth.</w:t>
      </w:r>
      <w:r w:rsidR="00BD1EBB" w:rsidRPr="00781948">
        <w:rPr>
          <w:rFonts w:eastAsia="Times New Roman"/>
          <w:sz w:val="22"/>
          <w:szCs w:val="22"/>
          <w:lang w:val="id-ID"/>
        </w:rPr>
        <w:t xml:space="preserve"> However, particularly in Gunung Tunak Natural Park (TWA), a conservation area with an ecotourism focus, information on the diversity and potential of macrofungi is very scarce.</w:t>
      </w:r>
    </w:p>
    <w:p w14:paraId="78EA34E2" w14:textId="47215966" w:rsidR="00C666AF" w:rsidRPr="00781948" w:rsidRDefault="00000000" w:rsidP="00781C75">
      <w:pPr>
        <w:widowControl w:val="0"/>
        <w:ind w:firstLine="540"/>
        <w:jc w:val="both"/>
        <w:rPr>
          <w:rFonts w:eastAsia="Times New Roman"/>
          <w:sz w:val="22"/>
          <w:szCs w:val="22"/>
          <w:lang w:val="id-ID"/>
        </w:rPr>
      </w:pPr>
      <w:r w:rsidRPr="00781948">
        <w:rPr>
          <w:rFonts w:eastAsia="Times New Roman"/>
          <w:sz w:val="22"/>
          <w:szCs w:val="22"/>
          <w:lang w:val="id-ID"/>
        </w:rPr>
        <w:t xml:space="preserve">Gunung Tunak is designated as one of eleven Nature Tourism Parks (TWA) and among seventeen conservation areas managed by the Balai Konservasi Sumber Daya Alam (BKSDA) in West Nusa Tenggara </w:t>
      </w:r>
      <w:hyperlink r:id="rId17" w:history="1">
        <w:r w:rsidR="00C666AF" w:rsidRPr="00781948">
          <w:rPr>
            <w:rFonts w:eastAsia="Times New Roman"/>
            <w:sz w:val="22"/>
            <w:szCs w:val="22"/>
            <w:lang w:val="id-ID"/>
          </w:rPr>
          <w:t>(Hasanah et al., 2020)</w:t>
        </w:r>
      </w:hyperlink>
      <w:r w:rsidRPr="00781948">
        <w:rPr>
          <w:rFonts w:eastAsia="Times New Roman"/>
          <w:sz w:val="22"/>
          <w:szCs w:val="22"/>
          <w:lang w:val="id-ID"/>
        </w:rPr>
        <w:t xml:space="preserve">. </w:t>
      </w:r>
      <w:r w:rsidR="00264F44" w:rsidRPr="00781948">
        <w:rPr>
          <w:rFonts w:eastAsia="Times New Roman"/>
          <w:sz w:val="22"/>
          <w:szCs w:val="22"/>
          <w:lang w:val="id-ID"/>
        </w:rPr>
        <w:t>Geographically</w:t>
      </w:r>
      <w:r w:rsidRPr="00781948">
        <w:rPr>
          <w:rFonts w:eastAsia="Times New Roman"/>
          <w:sz w:val="22"/>
          <w:szCs w:val="22"/>
          <w:lang w:val="id-ID"/>
        </w:rPr>
        <w:t xml:space="preserve">, TWA Gunung Tunak located at the southern tip of Lombok Island and directly bordering the Indian Ocean in Central Lombok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{"citationID":"mk9Z9TL2","properties":{"formattedCitation":"(Pratama dkk., 2023)","plainCitation":"(Pratama dkk., 2023)","dontUpdate":true,"noteIndex":0},"citationItems":[{"id":"n67l8Wxv/aOfSDo6f","uris":["http://zotero.org/users/local/aclxgGd8/items/DJHK86LW"],"itemData":{"id":149,"type":"article-journal","abstract":"Gunung Tunak Natural Tourism Park (TWA Gunung Tunak) is a conservation area developed as a tourist area with the concept of community-based eco-tourism. Including as a buffer destination for the sustainability of the Mandalika special economic zone (KEK Mandalika) so that it must have good and sustainable management. This study aims to explore and assess the sustainability of the management of TWA Gunung Tunak since it was first opened as a tourist destination until now. This study uses a qualitative approach with content analysis. Data obtained through observation, in-depth interviews and document study. The findings of this study are divided into two categories, namely the strongest potential and participatory management. The potential of TWA Gunung Tunak has been managed with an integrated collaborative approach through the local community's Tunak Besopok forum. Management of diversity of flora and fauna is preserved with a strong socio-cultural culture of the community. Participatory management involving elements of the local community supports the sustainable management of TWA Gunung Tunak.","container-title":"Target: Jurnal Manajemen dan Bisnis","DOI":"10.30812/target.v5i1.2881","ISSN":"2715-9361","issue":"1","journalAbbreviation":"Manajemen dan Bisnis","license":"http://creativecommons.org/licenses/by/4.0","page":"39-46","source":"DOI.org (Crossref)","title":"Potret Pengelolaan Berkelanjutan Taman Wisata Alam Gunung Tunak Kabupaten Lombok Tengah","volume":"5","author":[{"family":"Pratama","given":"Aryan Agus"},{"family":"Alpiansah","given":"Restu"},{"family":"Yuliana","given":"Ika"},{"family":"Hermanto","given":"Agus"}],"issued":{"date-parts":[["2023",7,3]]}}}],"schema":"https://github.com/citation-style-language/schema/raw/master/csl-citation.json"} </w:instrText>
      </w:r>
      <w:r w:rsidRPr="00781948">
        <w:rPr>
          <w:rFonts w:eastAsia="Times New Roman"/>
          <w:sz w:val="22"/>
          <w:szCs w:val="22"/>
          <w:lang w:val="id-ID"/>
        </w:rPr>
        <w:fldChar w:fldCharType="separate"/>
      </w:r>
      <w:r w:rsidRPr="00781948">
        <w:rPr>
          <w:sz w:val="22"/>
          <w:szCs w:val="22"/>
          <w:lang w:val="id-ID"/>
        </w:rPr>
        <w:t>(Pratama et al., 2023)</w:t>
      </w:r>
      <w:r w:rsidRPr="00781948">
        <w:rPr>
          <w:rFonts w:eastAsia="Times New Roman"/>
          <w:sz w:val="22"/>
          <w:szCs w:val="22"/>
          <w:lang w:val="id-ID"/>
        </w:rPr>
        <w:fldChar w:fldCharType="end"/>
      </w:r>
      <w:r w:rsidRPr="00781948">
        <w:rPr>
          <w:rFonts w:eastAsia="Times New Roman"/>
          <w:sz w:val="22"/>
          <w:szCs w:val="22"/>
          <w:lang w:val="id-ID"/>
        </w:rPr>
        <w:t xml:space="preserve">. The topography of the Mount Tunak TWA varies from gentle to steep elevation ranging from 0-105 meters above sea level, and consisting of gentle coastal plains to rows of hills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{"citationID":"yTCO8MbY","properties":{"formattedCitation":"(Elina &amp; Mayana, 2019)","plainCitation":"(Elina &amp; Mayana, 2019)","noteIndex":0},"citationItems":[{"id":"n67l8Wxv/lB5S7NeG","uris":["http://zotero.org/users/local/aclxgGd8/items/YAAIRIL5"],"itemData":{"id":151,"type":"article-journal","abstract":"Penelitian ini mengkaji tentang potensi wisata di taman wisata alam gunung tunak. Oleh karenanya, berkaitan dengan hal tersebut studi ini mendeskripsikan hal-hal yang terkait dengan potensi objek wisata yang ada di taman wisata alam gunung tunak ini. Penelitian ini menggunakan metode kualitatif dengan data primer  . Data diperoleh dari wawancara dan dokumentasi.  Peneliti menuliskan bahwa TWA gunung tunak ini merupakan daerah wisata yang dikelola oleh balai KSDA NTB bekerja sama dengan Negara Korea.  KOREA COOPERATION memberikan sumbangsihnya terhadap peningkatan jumlah pariwisata di NTB yang menjadi ikon untuk berwisata. Pariwisata diharapkan mampu memberikan dampak yang positif bagi dunia pariwisata Indonesia secara khusus untuk provinsi NTB yang banyak memiliki tempat wisata yang indah salah satunya Taman wisata alam gunung tunak yang berada di Desa Mertak  Kecamatan Pujut, Kabupaten Lombok Tengah.","container-title":"JURNAL SOSIAL EKONOMI DAN HUMANIORA","DOI":"10.29303/jseh.v5i2.40","ISSN":"2461-0720, 2461-0666","issue":"2","journalAbbreviation":"jseh","page":"134-139","source":"DOI.org (Crossref)","title":"POTENSI OBYEK WISATA TAMAN WISATA ALAM GUNUNG TUNAK","volume":"5","author":[{"family":"Elina","given":"Cahyani"},{"family":"Mayana","given":"Ersya"}],"issued":{"date-parts":[["2019",12,30]]}}}],"schema":"https://github.com/citation-style-language/schema/raw/master/csl-citation.json"}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(Elina &amp; Mayana, 2019)</w:t>
      </w:r>
      <w:r w:rsidRPr="00781948">
        <w:rPr>
          <w:rFonts w:eastAsia="Times New Roman"/>
          <w:sz w:val="22"/>
          <w:szCs w:val="22"/>
          <w:lang w:val="id-ID"/>
        </w:rPr>
        <w:fldChar w:fldCharType="end"/>
      </w:r>
      <w:r w:rsidRPr="00781948">
        <w:rPr>
          <w:rFonts w:eastAsia="Times New Roman"/>
          <w:sz w:val="22"/>
          <w:szCs w:val="22"/>
          <w:lang w:val="id-ID"/>
        </w:rPr>
        <w:t xml:space="preserve">. Its primary function is nature conservation, with an emphasis on ecotourism due to its picturesque coastal landscapes. The strategic location of TWA Gunung Tunak, situated within the Special Economic Zone (KEK) of Mandalika, underscores its importance as a complementary destination, supporting the sustainability of tourism on Lombok Island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{"citationID":"Pyn6mNt0","properties":{"formattedCitation":"(Pratama et al., 2023)","plainCitation":"(Pratama et al., 2023)","noteIndex":0},"citationItems":[{"id":"n67l8Wxv/aOfSDo6f","uris":["http://zotero.org/users/local/aclxgGd8/items/DJHK86LW"],"itemData":{"id":149,"type":"article-journal","abstract":"Gunung Tunak Natural Tourism Park (TWA Gunung Tunak) is a conservation area developed as a tourist area with the concept of community-based eco-tourism. Including as a buffer destination for the sustainability of the Mandalika special economic zone (KEK Mandalika) so that it must have good and sustainable management. This study aims to explore and assess the sustainability of the management of TWA Gunung Tunak since it was first opened as a tourist destination until now. This study uses a qualitative approach with content analysis. Data obtained through observation, in-depth interviews and document study. The findings of this study are divided into two categories, namely the strongest potential and participatory management. The potential of TWA Gunung Tunak has been managed with an integrated collaborative approach through the local community's Tunak Besopok forum. Management of diversity of flora and fauna is preserved with a strong socio-cultural culture of the community. Participatory management involving elements of the local community supports the sustainable management of TWA Gunung Tunak.","container-title":"Target: Jurnal Manajemen dan Bisnis","DOI":"10.30812/target.v5i1.2881","ISSN":"2715-9361","issue":"1","journalAbbreviation":"Manajemen dan Bisnis","license":"http://creativecommons.org/licenses/by/4.0","page":"39-46","source":"DOI.org (Crossref)","title":"Potret Pengelolaan Berkelanjutan Taman Wisata Alam Gunung Tunak Kabupaten Lombok Tengah","volume":"5","author":[{"family":"Pratama","given":"Aryan Agus"},{"family":"Alpiansah","given":"Restu"},{"family":"Yuliana","given":"Ika"},{"family":"Hermanto","given":"Agus"}],"issued":{"date-parts":[["2023",7,3]]}}}],"schema":"https://github.com/citation-style-language/schema/raw/master/csl-citation.json"}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(Pratama et al., 2023)</w:t>
      </w:r>
      <w:r w:rsidRPr="00781948">
        <w:rPr>
          <w:rFonts w:eastAsia="Times New Roman"/>
          <w:sz w:val="22"/>
          <w:szCs w:val="22"/>
          <w:lang w:val="id-ID"/>
        </w:rPr>
        <w:fldChar w:fldCharType="end"/>
      </w:r>
      <w:hyperlink r:id="rId18" w:history="1"/>
      <w:r w:rsidRPr="00781948">
        <w:rPr>
          <w:rFonts w:eastAsia="Times New Roman"/>
          <w:sz w:val="22"/>
          <w:szCs w:val="22"/>
          <w:lang w:val="id-ID"/>
        </w:rPr>
        <w:t>.</w:t>
      </w:r>
    </w:p>
    <w:p w14:paraId="4BFBC5D3" w14:textId="77777777" w:rsidR="00C666AF" w:rsidRPr="00781948" w:rsidRDefault="00000000" w:rsidP="00781C75">
      <w:pPr>
        <w:widowControl w:val="0"/>
        <w:ind w:firstLine="540"/>
        <w:jc w:val="both"/>
        <w:rPr>
          <w:spacing w:val="4"/>
          <w:sz w:val="22"/>
          <w:szCs w:val="22"/>
          <w:lang w:val="id-ID"/>
        </w:rPr>
      </w:pPr>
      <w:r w:rsidRPr="00781948">
        <w:rPr>
          <w:rFonts w:eastAsia="Times New Roman"/>
          <w:sz w:val="22"/>
          <w:szCs w:val="22"/>
          <w:lang w:val="id-ID"/>
        </w:rPr>
        <w:t>The designation of TWA Gunung Tunak as an ecotourism area raises concerns about potential impacts on the local organisms. Currently, there is a significant lack of documented information regarding the diversity and potential of macrofungi within this protected area. Consequently, this study aims to determine the diversity of macrofungi and assess the potential application of macrofungi found in TWA Gunung Tunak</w:t>
      </w:r>
      <w:r w:rsidRPr="00781948">
        <w:rPr>
          <w:spacing w:val="4"/>
          <w:sz w:val="22"/>
          <w:szCs w:val="22"/>
          <w:lang w:val="id-ID"/>
        </w:rPr>
        <w:t>.</w:t>
      </w:r>
    </w:p>
    <w:p w14:paraId="14E11615" w14:textId="77777777" w:rsidR="00C666AF" w:rsidRPr="00781948" w:rsidRDefault="00C666AF">
      <w:pPr>
        <w:widowControl w:val="0"/>
        <w:autoSpaceDE w:val="0"/>
        <w:autoSpaceDN w:val="0"/>
        <w:adjustRightInd w:val="0"/>
        <w:ind w:firstLine="720"/>
        <w:jc w:val="both"/>
        <w:rPr>
          <w:spacing w:val="4"/>
          <w:sz w:val="22"/>
          <w:szCs w:val="22"/>
          <w:lang w:val="id-ID"/>
        </w:rPr>
      </w:pPr>
    </w:p>
    <w:p w14:paraId="1A18E2B9" w14:textId="77777777" w:rsidR="00C666AF" w:rsidRPr="00781948" w:rsidRDefault="00000000">
      <w:pPr>
        <w:widowControl w:val="0"/>
        <w:autoSpaceDE w:val="0"/>
        <w:autoSpaceDN w:val="0"/>
        <w:adjustRightInd w:val="0"/>
        <w:jc w:val="both"/>
        <w:rPr>
          <w:b/>
          <w:sz w:val="22"/>
          <w:szCs w:val="22"/>
          <w:lang w:val="id-ID"/>
        </w:rPr>
      </w:pPr>
      <w:r w:rsidRPr="00781948">
        <w:rPr>
          <w:b/>
          <w:sz w:val="22"/>
          <w:szCs w:val="22"/>
          <w:lang w:val="id-ID"/>
        </w:rPr>
        <w:t>Material and Method</w:t>
      </w:r>
    </w:p>
    <w:p w14:paraId="47BE846F" w14:textId="77777777" w:rsidR="00C666AF" w:rsidRPr="00781948" w:rsidRDefault="00C666AF">
      <w:pPr>
        <w:widowControl w:val="0"/>
        <w:autoSpaceDE w:val="0"/>
        <w:autoSpaceDN w:val="0"/>
        <w:adjustRightInd w:val="0"/>
        <w:jc w:val="both"/>
        <w:rPr>
          <w:b/>
          <w:sz w:val="22"/>
          <w:szCs w:val="22"/>
          <w:lang w:val="id-ID"/>
        </w:rPr>
      </w:pPr>
    </w:p>
    <w:p w14:paraId="72EB7D20" w14:textId="77777777" w:rsidR="00C666AF" w:rsidRPr="00781948" w:rsidRDefault="00000000">
      <w:pPr>
        <w:widowControl w:val="0"/>
        <w:autoSpaceDE w:val="0"/>
        <w:autoSpaceDN w:val="0"/>
        <w:adjustRightInd w:val="0"/>
        <w:jc w:val="both"/>
        <w:rPr>
          <w:b/>
          <w:sz w:val="22"/>
          <w:szCs w:val="22"/>
          <w:lang w:val="id-ID"/>
        </w:rPr>
      </w:pPr>
      <w:r w:rsidRPr="00781948">
        <w:rPr>
          <w:b/>
          <w:sz w:val="22"/>
          <w:szCs w:val="22"/>
          <w:lang w:val="id-ID"/>
        </w:rPr>
        <w:t>Sampling Method</w:t>
      </w:r>
    </w:p>
    <w:p w14:paraId="4F2C168E" w14:textId="77777777" w:rsidR="00C666AF" w:rsidRPr="00781948" w:rsidRDefault="00000000" w:rsidP="00781C75">
      <w:pPr>
        <w:widowControl w:val="0"/>
        <w:ind w:firstLine="540"/>
        <w:jc w:val="both"/>
        <w:rPr>
          <w:sz w:val="22"/>
          <w:szCs w:val="22"/>
          <w:lang w:val="id-ID"/>
        </w:rPr>
      </w:pPr>
      <w:r w:rsidRPr="00781948">
        <w:rPr>
          <w:rFonts w:eastAsia="Times New Roman"/>
          <w:sz w:val="22"/>
          <w:szCs w:val="22"/>
          <w:lang w:val="id-ID"/>
        </w:rPr>
        <w:t xml:space="preserve">This study was conducted in TWA Gunung Tunak from </w:t>
      </w:r>
      <w:r w:rsidRPr="00781948">
        <w:rPr>
          <w:rFonts w:eastAsia="Times New Roman"/>
          <w:sz w:val="22"/>
          <w:szCs w:val="22"/>
          <w:lang w:val="id-ID" w:eastAsia="id-ID"/>
        </w:rPr>
        <w:t>June</w:t>
      </w:r>
      <w:r w:rsidRPr="00781948">
        <w:rPr>
          <w:rFonts w:eastAsia="Times New Roman"/>
          <w:sz w:val="22"/>
          <w:szCs w:val="22"/>
          <w:lang w:val="id-ID"/>
        </w:rPr>
        <w:t xml:space="preserve"> to November 2024. Sampling was carried out using line transect and plot method in the TWA Gunung Tunak. Samples were collected along 3 trails within the study area. Each trail consisted of 10 plots measuring 10 x 10 m with and spaced 10 meters apart</w:t>
      </w:r>
      <w:r w:rsidRPr="00781948">
        <w:rPr>
          <w:sz w:val="22"/>
          <w:szCs w:val="22"/>
          <w:lang w:val="id-ID"/>
        </w:rPr>
        <w:t>.</w:t>
      </w:r>
    </w:p>
    <w:p w14:paraId="696A2F02" w14:textId="77777777" w:rsidR="00C666AF" w:rsidRPr="002C5189" w:rsidRDefault="00000000">
      <w:pPr>
        <w:pStyle w:val="BodyText"/>
        <w:spacing w:after="0" w:line="240" w:lineRule="auto"/>
        <w:ind w:firstLine="0"/>
        <w:rPr>
          <w:lang w:val="id-ID"/>
        </w:rPr>
      </w:pPr>
      <w:r w:rsidRPr="002C5189">
        <w:rPr>
          <w:rFonts w:eastAsia="Times New Roman"/>
          <w:noProof/>
          <w:lang w:val="id-ID"/>
        </w:rPr>
        <w:drawing>
          <wp:inline distT="0" distB="0" distL="0" distR="0" wp14:anchorId="4DCBC041" wp14:editId="02D7D707">
            <wp:extent cx="2743200" cy="1501254"/>
            <wp:effectExtent l="0" t="0" r="0" b="3810"/>
            <wp:docPr id="1026" name="Picture 1" descr="A map of a country&#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9" cstate="print"/>
                    <a:srcRect/>
                    <a:stretch/>
                  </pic:blipFill>
                  <pic:spPr>
                    <a:xfrm>
                      <a:off x="0" y="0"/>
                      <a:ext cx="2758430" cy="1509589"/>
                    </a:xfrm>
                    <a:prstGeom prst="rect">
                      <a:avLst/>
                    </a:prstGeom>
                  </pic:spPr>
                </pic:pic>
              </a:graphicData>
            </a:graphic>
          </wp:inline>
        </w:drawing>
      </w:r>
    </w:p>
    <w:p w14:paraId="299A4F5F" w14:textId="77777777" w:rsidR="00C666AF" w:rsidRPr="002C5189" w:rsidRDefault="00000000">
      <w:pPr>
        <w:jc w:val="center"/>
        <w:rPr>
          <w:rFonts w:eastAsia="Times New Roman"/>
          <w:sz w:val="20"/>
          <w:szCs w:val="20"/>
          <w:lang w:val="id-ID"/>
        </w:rPr>
      </w:pPr>
      <w:r w:rsidRPr="002C5189">
        <w:rPr>
          <w:rFonts w:eastAsia="Times New Roman"/>
          <w:b/>
          <w:bCs/>
          <w:sz w:val="20"/>
          <w:szCs w:val="20"/>
          <w:lang w:val="id-ID"/>
        </w:rPr>
        <w:t>Figure 1.</w:t>
      </w:r>
      <w:r w:rsidRPr="002C5189">
        <w:rPr>
          <w:rFonts w:eastAsia="Times New Roman"/>
          <w:sz w:val="20"/>
          <w:szCs w:val="20"/>
          <w:lang w:val="id-ID"/>
        </w:rPr>
        <w:t xml:space="preserve"> Study area of TWA Gunung Tunak</w:t>
      </w:r>
    </w:p>
    <w:p w14:paraId="7EA52AE7" w14:textId="77777777" w:rsidR="00C666AF" w:rsidRPr="00781948" w:rsidRDefault="00C666AF">
      <w:pPr>
        <w:rPr>
          <w:rFonts w:eastAsia="Times New Roman"/>
          <w:sz w:val="22"/>
          <w:szCs w:val="22"/>
          <w:lang w:val="id-ID"/>
        </w:rPr>
      </w:pPr>
    </w:p>
    <w:p w14:paraId="216BCE70" w14:textId="77777777" w:rsidR="00C666AF" w:rsidRPr="00781948" w:rsidRDefault="00000000">
      <w:pPr>
        <w:rPr>
          <w:rFonts w:eastAsia="Times New Roman"/>
          <w:b/>
          <w:bCs/>
          <w:sz w:val="22"/>
          <w:szCs w:val="22"/>
          <w:lang w:val="id-ID"/>
        </w:rPr>
      </w:pPr>
      <w:r w:rsidRPr="00781948">
        <w:rPr>
          <w:rFonts w:eastAsia="Times New Roman"/>
          <w:b/>
          <w:bCs/>
          <w:sz w:val="22"/>
          <w:szCs w:val="22"/>
          <w:lang w:val="id-ID"/>
        </w:rPr>
        <w:t xml:space="preserve">Macrofungal Identification </w:t>
      </w:r>
    </w:p>
    <w:p w14:paraId="6138A9E3" w14:textId="77777777" w:rsidR="00C666AF" w:rsidRPr="00781948" w:rsidRDefault="00000000" w:rsidP="00781C75">
      <w:pPr>
        <w:widowControl w:val="0"/>
        <w:ind w:firstLine="540"/>
        <w:jc w:val="both"/>
        <w:rPr>
          <w:rFonts w:eastAsia="Times New Roman"/>
          <w:sz w:val="22"/>
          <w:szCs w:val="22"/>
          <w:lang w:val="id-ID"/>
        </w:rPr>
      </w:pPr>
      <w:r w:rsidRPr="00781948">
        <w:rPr>
          <w:rFonts w:eastAsia="Times New Roman"/>
          <w:sz w:val="22"/>
          <w:szCs w:val="22"/>
          <w:lang w:val="id-ID"/>
        </w:rPr>
        <w:t>Within the designated plot, all observed macrofungi were documented through photographs taken in their natural habitats, along with the number of individuals of each species present. Representative samples of macrofungi were collected by extracting the entire fruiting body with a small portion of the substrate. The collected specimens were then placed in specimen boxes for further identification. The identification of the macrofungal samples based on morphological features of the pileus, stipe, lamellae, annulus, and volva. The collected fruiting bodies were subjected to a drying process for herbarium. The identification was achieved by comparing the observed morphological characteristics with published taxonomic descriptions and illustrations found in relevant scientific journals and confirmed through Species Fungorum website.</w:t>
      </w:r>
    </w:p>
    <w:p w14:paraId="55DA4E3E" w14:textId="77777777" w:rsidR="00C666AF" w:rsidRPr="00781948" w:rsidRDefault="00C666AF">
      <w:pPr>
        <w:pStyle w:val="BodyText"/>
        <w:spacing w:after="0" w:line="240" w:lineRule="auto"/>
        <w:ind w:firstLine="0"/>
        <w:rPr>
          <w:rFonts w:eastAsia="Times New Roman"/>
          <w:sz w:val="22"/>
          <w:szCs w:val="22"/>
          <w:lang w:val="id-ID"/>
        </w:rPr>
      </w:pPr>
    </w:p>
    <w:p w14:paraId="32F88621" w14:textId="77777777" w:rsidR="00C666AF" w:rsidRPr="00781948" w:rsidRDefault="00000000">
      <w:pPr>
        <w:pStyle w:val="BodyText"/>
        <w:spacing w:after="0" w:line="240" w:lineRule="auto"/>
        <w:ind w:firstLine="0"/>
        <w:rPr>
          <w:rFonts w:eastAsia="Times New Roman"/>
          <w:b/>
          <w:bCs/>
          <w:sz w:val="22"/>
          <w:szCs w:val="22"/>
          <w:lang w:val="id-ID"/>
        </w:rPr>
      </w:pPr>
      <w:r w:rsidRPr="00781948">
        <w:rPr>
          <w:rFonts w:eastAsia="Times New Roman"/>
          <w:b/>
          <w:bCs/>
          <w:sz w:val="22"/>
          <w:szCs w:val="22"/>
          <w:lang w:val="id-ID"/>
        </w:rPr>
        <w:t>Data Analysis</w:t>
      </w:r>
    </w:p>
    <w:p w14:paraId="0AD539BB" w14:textId="7AAACB1F" w:rsidR="00C666AF" w:rsidRPr="00781948" w:rsidRDefault="00000000" w:rsidP="002C5189">
      <w:pPr>
        <w:widowControl w:val="0"/>
        <w:ind w:firstLine="540"/>
        <w:jc w:val="both"/>
        <w:rPr>
          <w:rFonts w:eastAsia="Times New Roman"/>
          <w:sz w:val="22"/>
          <w:szCs w:val="22"/>
          <w:lang w:val="id-ID"/>
        </w:rPr>
      </w:pPr>
      <w:r w:rsidRPr="00781948">
        <w:rPr>
          <w:rFonts w:eastAsia="Times New Roman"/>
          <w:sz w:val="22"/>
          <w:szCs w:val="22"/>
          <w:lang w:val="id-ID"/>
        </w:rPr>
        <w:t xml:space="preserve">The collected data was analyzed using the Shannon Wiener Diversity Index (H’). The Shannon-Wiener Index was calculated using the formula proposed by </w:t>
      </w:r>
      <w:r w:rsidRPr="00781948">
        <w:rPr>
          <w:rFonts w:eastAsia="Times New Roman"/>
          <w:sz w:val="22"/>
          <w:szCs w:val="22"/>
          <w:lang w:val="id-ID"/>
        </w:rPr>
        <w:fldChar w:fldCharType="begin"/>
      </w:r>
      <w:r w:rsidR="00B51C4F" w:rsidRPr="00781948">
        <w:rPr>
          <w:rFonts w:eastAsia="Times New Roman"/>
          <w:sz w:val="22"/>
          <w:szCs w:val="22"/>
          <w:lang w:val="id-ID"/>
        </w:rPr>
        <w:instrText xml:space="preserve"> ADDIN ZOTERO_ITEM CSL_CITATION {"citationID":"zGwUF6Op","properties":{"formattedCitation":"(Margalef, 1964)","plainCitation":"(Margalef, 1964)","noteIndex":0},"citationItems":[{"id":"n67l8Wxv/gykvFocP","uris":["http://zotero.org/users/local/aclxgGd8/items/BCMCETL7"],"itemData":{"id":153,"type":"article-journal","container-title":"SIL Proceedings, 1922-2010","DOI":"10.1080/03680770.1962.11895518","ISSN":"0368-0770","issue":"1","journalAbbreviation":"SIL Proceedings, 1922-2010","language":"en","page":"169-175","source":"DOI.org (Crossref)","title":"Correspondence between the classic types of lakes and the structural and dynamic properties of their populations: With l figure and 2 tables in the text","title-short":"Correspondence between the classic types of lakes and the structural and dynamic properties of their populations","volume":"15","author":[{"family":"Margalef","given":"Ramón"}],"issued":{"date-parts":[["1964",2]]}}}],"schema":"https://github.com/citation-style-language/schema/raw/master/csl-citation.json"} </w:instrText>
      </w:r>
      <w:r w:rsidRPr="00781948">
        <w:rPr>
          <w:rFonts w:eastAsia="Times New Roman"/>
          <w:sz w:val="22"/>
          <w:szCs w:val="22"/>
          <w:lang w:val="id-ID"/>
        </w:rPr>
        <w:fldChar w:fldCharType="separate"/>
      </w:r>
      <w:r w:rsidR="00B51C4F" w:rsidRPr="00781948">
        <w:rPr>
          <w:sz w:val="22"/>
          <w:lang w:val="id-ID"/>
        </w:rPr>
        <w:t>(Margalef, 1964)</w:t>
      </w:r>
      <w:r w:rsidRPr="00781948">
        <w:rPr>
          <w:rFonts w:eastAsia="Times New Roman"/>
          <w:sz w:val="22"/>
          <w:szCs w:val="22"/>
          <w:lang w:val="id-ID"/>
        </w:rPr>
        <w:fldChar w:fldCharType="end"/>
      </w:r>
      <w:r w:rsidRPr="00781948">
        <w:rPr>
          <w:rFonts w:eastAsia="Times New Roman"/>
          <w:sz w:val="22"/>
          <w:szCs w:val="22"/>
          <w:lang w:val="id-ID"/>
        </w:rPr>
        <w:t xml:space="preserve">. </w:t>
      </w:r>
    </w:p>
    <w:bookmarkStart w:id="54" w:name="_Hlk191830219"/>
    <w:p w14:paraId="31147741" w14:textId="77777777" w:rsidR="00C666AF" w:rsidRPr="00781948" w:rsidRDefault="00000000">
      <w:pPr>
        <w:ind w:firstLine="720"/>
        <w:jc w:val="both"/>
        <w:rPr>
          <w:rFonts w:eastAsia="Times New Roman"/>
          <w:sz w:val="22"/>
          <w:szCs w:val="22"/>
          <w:lang w:val="id-ID"/>
        </w:rPr>
      </w:pPr>
      <m:oMathPara>
        <m:oMathParaPr>
          <m:jc m:val="center"/>
        </m:oMathParaPr>
        <m:oMath>
          <m:sSup>
            <m:sSupPr>
              <m:ctrlPr>
                <w:rPr>
                  <w:rFonts w:ascii="Cambria Math" w:eastAsia="Times New Roman" w:hAnsi="Cambria Math"/>
                  <w:i/>
                  <w:sz w:val="22"/>
                  <w:szCs w:val="22"/>
                  <w:lang w:val="id-ID"/>
                </w:rPr>
              </m:ctrlPr>
            </m:sSupPr>
            <m:e>
              <m:r>
                <w:rPr>
                  <w:rFonts w:ascii="Cambria Math" w:eastAsia="Times New Roman" w:hAnsi="Cambria Math"/>
                  <w:sz w:val="22"/>
                  <w:szCs w:val="22"/>
                  <w:lang w:val="id-ID"/>
                </w:rPr>
                <m:t>H</m:t>
              </m:r>
            </m:e>
            <m:sup>
              <m:r>
                <w:rPr>
                  <w:rFonts w:ascii="Cambria Math" w:eastAsia="Times New Roman" w:hAnsi="Cambria Math"/>
                  <w:sz w:val="22"/>
                  <w:szCs w:val="22"/>
                  <w:lang w:val="id-ID"/>
                </w:rPr>
                <m:t>'</m:t>
              </m:r>
            </m:sup>
          </m:sSup>
          <m:r>
            <w:rPr>
              <w:rFonts w:ascii="Cambria Math" w:eastAsia="Times New Roman" w:hAnsi="Cambria Math"/>
              <w:sz w:val="22"/>
              <w:szCs w:val="22"/>
              <w:lang w:val="id-ID"/>
            </w:rPr>
            <m:t>=</m:t>
          </m:r>
          <m:nary>
            <m:naryPr>
              <m:chr m:val="∑"/>
              <m:limLoc m:val="undOvr"/>
              <m:ctrlPr>
                <w:rPr>
                  <w:rFonts w:ascii="Cambria Math" w:eastAsia="Times New Roman" w:hAnsi="Cambria Math"/>
                  <w:i/>
                  <w:sz w:val="22"/>
                  <w:szCs w:val="22"/>
                  <w:lang w:val="id-ID" w:eastAsia="zh-CN"/>
                </w:rPr>
              </m:ctrlPr>
            </m:naryPr>
            <m:sub>
              <m:r>
                <w:rPr>
                  <w:rFonts w:ascii="Cambria Math" w:eastAsia="Times New Roman" w:hAnsi="Cambria Math"/>
                  <w:sz w:val="22"/>
                  <w:szCs w:val="22"/>
                  <w:lang w:val="id-ID"/>
                </w:rPr>
                <m:t>i=1</m:t>
              </m:r>
            </m:sub>
            <m:sup>
              <m:r>
                <w:rPr>
                  <w:rFonts w:ascii="Cambria Math" w:eastAsia="Times New Roman" w:hAnsi="Cambria Math"/>
                  <w:sz w:val="22"/>
                  <w:szCs w:val="22"/>
                  <w:lang w:val="id-ID"/>
                </w:rPr>
                <m:t>s</m:t>
              </m:r>
            </m:sup>
            <m:e>
              <m:r>
                <w:rPr>
                  <w:rFonts w:ascii="Cambria Math" w:eastAsia="Times New Roman" w:hAnsi="Cambria Math"/>
                  <w:sz w:val="22"/>
                  <w:szCs w:val="22"/>
                  <w:lang w:val="id-ID"/>
                </w:rPr>
                <m:t>Pi</m:t>
              </m:r>
              <m:func>
                <m:funcPr>
                  <m:ctrlPr>
                    <w:rPr>
                      <w:rFonts w:ascii="Cambria Math" w:eastAsia="Times New Roman" w:hAnsi="Cambria Math"/>
                      <w:i/>
                      <w:sz w:val="22"/>
                      <w:szCs w:val="22"/>
                      <w:lang w:val="id-ID"/>
                    </w:rPr>
                  </m:ctrlPr>
                </m:funcPr>
                <m:fName>
                  <m:r>
                    <m:rPr>
                      <m:sty m:val="p"/>
                    </m:rPr>
                    <w:rPr>
                      <w:rFonts w:ascii="Cambria Math" w:eastAsia="Times New Roman" w:hAnsi="Cambria Math"/>
                      <w:sz w:val="22"/>
                      <w:szCs w:val="22"/>
                      <w:lang w:val="id-ID"/>
                    </w:rPr>
                    <m:t>ln</m:t>
                  </m:r>
                </m:fName>
                <m:e>
                  <m:r>
                    <w:rPr>
                      <w:rFonts w:ascii="Cambria Math" w:eastAsia="Times New Roman" w:hAnsi="Cambria Math"/>
                      <w:sz w:val="22"/>
                      <w:szCs w:val="22"/>
                      <w:lang w:val="id-ID"/>
                    </w:rPr>
                    <m:t>Pi</m:t>
                  </m:r>
                </m:e>
              </m:func>
            </m:e>
          </m:nary>
        </m:oMath>
      </m:oMathPara>
    </w:p>
    <w:bookmarkEnd w:id="54"/>
    <w:p w14:paraId="48165802" w14:textId="77777777" w:rsidR="00C666AF" w:rsidRPr="00781948" w:rsidRDefault="00000000" w:rsidP="002C5189">
      <w:pPr>
        <w:widowControl w:val="0"/>
        <w:ind w:firstLine="540"/>
        <w:jc w:val="both"/>
        <w:rPr>
          <w:rFonts w:eastAsia="Times New Roman"/>
          <w:sz w:val="22"/>
          <w:szCs w:val="22"/>
          <w:lang w:val="id-ID"/>
        </w:rPr>
      </w:pPr>
      <w:r w:rsidRPr="00781948">
        <w:rPr>
          <w:rFonts w:eastAsia="Times New Roman"/>
          <w:sz w:val="22"/>
          <w:szCs w:val="22"/>
          <w:lang w:val="id-ID"/>
        </w:rPr>
        <w:t>H’ is the Shannon-Wiener diversity index. Pi (∑ni/N) is the total number of all species, n is the number of individuals of the species, and N is the total number of individuals of all species. s. The interpretation of the diversity index value as follows: H’ ≤ 1= Low diversity; 1&lt; H’ ≤ 3= Moderate diversity, and H’ ≥ 3 = High diversity. The index provides a measure of macrofungal richness as an indicator of the overall macrofungal diversity in TWA Gunung Tunak.</w:t>
      </w:r>
    </w:p>
    <w:p w14:paraId="1C3B1BB9" w14:textId="77777777" w:rsidR="00C666AF" w:rsidRDefault="00C666AF">
      <w:pPr>
        <w:pStyle w:val="BodyText"/>
        <w:spacing w:after="0" w:line="240" w:lineRule="auto"/>
        <w:ind w:firstLine="0"/>
        <w:rPr>
          <w:b/>
          <w:bCs/>
          <w:sz w:val="22"/>
          <w:szCs w:val="22"/>
          <w:lang w:val="id-ID"/>
        </w:rPr>
      </w:pPr>
    </w:p>
    <w:p w14:paraId="13D84B19" w14:textId="77777777" w:rsidR="002C5189" w:rsidRPr="00781948" w:rsidRDefault="002C5189">
      <w:pPr>
        <w:pStyle w:val="BodyText"/>
        <w:spacing w:after="0" w:line="240" w:lineRule="auto"/>
        <w:ind w:firstLine="0"/>
        <w:rPr>
          <w:b/>
          <w:bCs/>
          <w:sz w:val="22"/>
          <w:szCs w:val="22"/>
          <w:lang w:val="id-ID"/>
        </w:rPr>
      </w:pPr>
    </w:p>
    <w:p w14:paraId="22A33744" w14:textId="77777777" w:rsidR="00C666AF" w:rsidRPr="00781948" w:rsidRDefault="00000000">
      <w:pPr>
        <w:pStyle w:val="BodyText"/>
        <w:spacing w:after="0" w:line="240" w:lineRule="auto"/>
        <w:ind w:firstLine="0"/>
        <w:rPr>
          <w:b/>
          <w:sz w:val="22"/>
          <w:szCs w:val="22"/>
          <w:lang w:val="id-ID"/>
        </w:rPr>
      </w:pPr>
      <w:r w:rsidRPr="00781948">
        <w:rPr>
          <w:b/>
          <w:sz w:val="22"/>
          <w:szCs w:val="22"/>
          <w:lang w:val="id-ID"/>
        </w:rPr>
        <w:lastRenderedPageBreak/>
        <w:t>Results and Discussions</w:t>
      </w:r>
    </w:p>
    <w:p w14:paraId="6A8BE1E0" w14:textId="77777777" w:rsidR="00C666AF" w:rsidRPr="00781948" w:rsidRDefault="00C666AF">
      <w:pPr>
        <w:pStyle w:val="BodyText"/>
        <w:spacing w:after="0" w:line="240" w:lineRule="auto"/>
        <w:ind w:firstLine="0"/>
        <w:rPr>
          <w:b/>
          <w:sz w:val="22"/>
          <w:szCs w:val="22"/>
          <w:lang w:val="id-ID"/>
        </w:rPr>
      </w:pPr>
    </w:p>
    <w:p w14:paraId="136534BB" w14:textId="77777777" w:rsidR="00C666AF" w:rsidRPr="00781948" w:rsidRDefault="00000000">
      <w:pPr>
        <w:pStyle w:val="BodyText"/>
        <w:spacing w:after="0" w:line="240" w:lineRule="auto"/>
        <w:ind w:firstLine="0"/>
        <w:rPr>
          <w:b/>
          <w:sz w:val="22"/>
          <w:szCs w:val="22"/>
          <w:lang w:val="id-ID"/>
        </w:rPr>
      </w:pPr>
      <w:r w:rsidRPr="00781948">
        <w:rPr>
          <w:b/>
          <w:sz w:val="22"/>
          <w:szCs w:val="22"/>
          <w:lang w:val="id-ID"/>
        </w:rPr>
        <w:t>The Diversity of Macrofungi</w:t>
      </w:r>
    </w:p>
    <w:p w14:paraId="2CA4A20E" w14:textId="71B4E07D" w:rsidR="00C666AF" w:rsidRPr="00781948" w:rsidRDefault="002C5189" w:rsidP="00DB0452">
      <w:pPr>
        <w:widowControl w:val="0"/>
        <w:ind w:firstLine="540"/>
        <w:jc w:val="both"/>
        <w:rPr>
          <w:sz w:val="22"/>
          <w:szCs w:val="22"/>
          <w:lang w:val="id-ID"/>
        </w:rPr>
      </w:pPr>
      <w:r w:rsidRPr="00781948">
        <w:rPr>
          <w:sz w:val="22"/>
          <w:szCs w:val="22"/>
          <w:lang w:val="id-ID"/>
        </w:rPr>
        <w:t xml:space="preserve">The study of macrofungal species in TWA Gunung Tunak revealed a total of 11 species belonging to the divisions Basidiomycota and Ascomycota (see Table 1). The majority of the </w:t>
      </w:r>
      <w:r w:rsidRPr="00781948">
        <w:rPr>
          <w:sz w:val="22"/>
          <w:szCs w:val="22"/>
          <w:lang w:val="id-ID"/>
        </w:rPr>
        <w:t xml:space="preserve">identified macrofungi are from the Basidiomycota division, represented by families such as </w:t>
      </w:r>
      <w:r w:rsidRPr="00781948">
        <w:rPr>
          <w:i/>
          <w:iCs/>
          <w:sz w:val="22"/>
          <w:szCs w:val="22"/>
          <w:lang w:val="id-ID"/>
        </w:rPr>
        <w:t>Polyporaceae, Irpicaceae, Hymenochaetaceae, Gloeophyllaceae, and Stereaceae</w:t>
      </w:r>
      <w:r w:rsidRPr="00781948">
        <w:rPr>
          <w:sz w:val="22"/>
          <w:szCs w:val="22"/>
          <w:lang w:val="id-ID"/>
        </w:rPr>
        <w:t xml:space="preserve">. Only one species from the Ascomycota division was found, belonging to the family </w:t>
      </w:r>
      <w:r w:rsidRPr="00781948">
        <w:rPr>
          <w:i/>
          <w:iCs/>
          <w:sz w:val="22"/>
          <w:szCs w:val="22"/>
          <w:lang w:val="id-ID"/>
        </w:rPr>
        <w:t>Xylariaceae</w:t>
      </w:r>
      <w:r w:rsidRPr="00781948">
        <w:rPr>
          <w:sz w:val="22"/>
          <w:szCs w:val="22"/>
          <w:lang w:val="id-ID"/>
        </w:rPr>
        <w:t>.</w:t>
      </w:r>
    </w:p>
    <w:p w14:paraId="42E9CECC" w14:textId="77777777" w:rsidR="00C666AF" w:rsidRPr="00781948" w:rsidRDefault="00C666AF">
      <w:pPr>
        <w:rPr>
          <w:sz w:val="22"/>
          <w:szCs w:val="22"/>
          <w:lang w:val="id-ID"/>
        </w:rPr>
        <w:sectPr w:rsidR="00C666AF" w:rsidRPr="00781948" w:rsidSect="00696F48">
          <w:type w:val="continuous"/>
          <w:pgSz w:w="11894" w:h="16157" w:code="9"/>
          <w:pgMar w:top="1440" w:right="1440" w:bottom="1440" w:left="1440" w:header="851" w:footer="941" w:gutter="0"/>
          <w:pgNumType w:start="1440"/>
          <w:cols w:num="2" w:space="431"/>
          <w:docGrid w:linePitch="360"/>
        </w:sectPr>
      </w:pPr>
    </w:p>
    <w:p w14:paraId="7686BA3D" w14:textId="77777777" w:rsidR="00DB0452" w:rsidRDefault="00DB0452" w:rsidP="00DB0452">
      <w:pPr>
        <w:jc w:val="center"/>
        <w:rPr>
          <w:b/>
          <w:bCs/>
          <w:sz w:val="22"/>
          <w:szCs w:val="22"/>
          <w:lang w:val="id-ID"/>
        </w:rPr>
      </w:pPr>
    </w:p>
    <w:p w14:paraId="1EAF4E8A" w14:textId="387A875F" w:rsidR="00C666AF" w:rsidRDefault="00000000" w:rsidP="00DB0452">
      <w:pPr>
        <w:jc w:val="center"/>
        <w:rPr>
          <w:sz w:val="20"/>
          <w:szCs w:val="20"/>
          <w:lang w:val="id-ID"/>
        </w:rPr>
      </w:pPr>
      <w:r w:rsidRPr="00DB0452">
        <w:rPr>
          <w:b/>
          <w:bCs/>
          <w:sz w:val="20"/>
          <w:szCs w:val="20"/>
          <w:lang w:val="id-ID"/>
        </w:rPr>
        <w:t>Table 1.</w:t>
      </w:r>
      <w:r w:rsidRPr="00DB0452">
        <w:rPr>
          <w:sz w:val="20"/>
          <w:szCs w:val="20"/>
          <w:lang w:val="id-ID"/>
        </w:rPr>
        <w:t xml:space="preserve"> Macrofungi found in the TWA Gunung Tunak, Central Lombok, </w:t>
      </w:r>
      <w:r w:rsidR="00DB0452">
        <w:rPr>
          <w:sz w:val="20"/>
          <w:szCs w:val="20"/>
          <w:lang w:val="id-ID"/>
        </w:rPr>
        <w:t>Indonesia</w:t>
      </w:r>
    </w:p>
    <w:p w14:paraId="059B41F0" w14:textId="77777777" w:rsidR="00DB0452" w:rsidRPr="00DB0452" w:rsidRDefault="00DB0452" w:rsidP="00DB0452">
      <w:pPr>
        <w:jc w:val="center"/>
        <w:rPr>
          <w:sz w:val="10"/>
          <w:szCs w:val="10"/>
          <w:lang w:val="id-ID"/>
        </w:rPr>
      </w:pPr>
    </w:p>
    <w:tbl>
      <w:tblPr>
        <w:tblStyle w:val="TableGrid"/>
        <w:tblW w:w="786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1774"/>
        <w:gridCol w:w="2338"/>
        <w:gridCol w:w="2338"/>
      </w:tblGrid>
      <w:tr w:rsidR="00C666AF" w:rsidRPr="00DB0452" w14:paraId="3D6302ED" w14:textId="77777777" w:rsidTr="00DB0452">
        <w:trPr>
          <w:jc w:val="center"/>
        </w:trPr>
        <w:tc>
          <w:tcPr>
            <w:tcW w:w="1418" w:type="dxa"/>
            <w:tcBorders>
              <w:top w:val="single" w:sz="4" w:space="0" w:color="auto"/>
              <w:bottom w:val="single" w:sz="4" w:space="0" w:color="auto"/>
            </w:tcBorders>
          </w:tcPr>
          <w:p w14:paraId="22A2394D" w14:textId="77777777" w:rsidR="00C666AF" w:rsidRPr="00DB0452" w:rsidRDefault="00000000">
            <w:pPr>
              <w:rPr>
                <w:b/>
                <w:bCs/>
                <w:sz w:val="20"/>
                <w:szCs w:val="20"/>
                <w:lang w:val="id-ID"/>
              </w:rPr>
            </w:pPr>
            <w:r w:rsidRPr="00DB0452">
              <w:rPr>
                <w:b/>
                <w:bCs/>
                <w:sz w:val="20"/>
                <w:szCs w:val="20"/>
                <w:lang w:val="id-ID"/>
              </w:rPr>
              <w:t>Phylum</w:t>
            </w:r>
          </w:p>
        </w:tc>
        <w:tc>
          <w:tcPr>
            <w:tcW w:w="1774" w:type="dxa"/>
            <w:tcBorders>
              <w:top w:val="single" w:sz="4" w:space="0" w:color="auto"/>
              <w:bottom w:val="single" w:sz="4" w:space="0" w:color="auto"/>
            </w:tcBorders>
          </w:tcPr>
          <w:p w14:paraId="447CFF69" w14:textId="77777777" w:rsidR="00C666AF" w:rsidRPr="00DB0452" w:rsidRDefault="00000000">
            <w:pPr>
              <w:rPr>
                <w:b/>
                <w:bCs/>
                <w:sz w:val="20"/>
                <w:szCs w:val="20"/>
                <w:lang w:val="id-ID"/>
              </w:rPr>
            </w:pPr>
            <w:r w:rsidRPr="00DB0452">
              <w:rPr>
                <w:b/>
                <w:bCs/>
                <w:sz w:val="20"/>
                <w:szCs w:val="20"/>
                <w:lang w:val="id-ID"/>
              </w:rPr>
              <w:t>Family</w:t>
            </w:r>
          </w:p>
        </w:tc>
        <w:tc>
          <w:tcPr>
            <w:tcW w:w="2338" w:type="dxa"/>
            <w:tcBorders>
              <w:top w:val="single" w:sz="4" w:space="0" w:color="auto"/>
              <w:bottom w:val="single" w:sz="4" w:space="0" w:color="auto"/>
            </w:tcBorders>
          </w:tcPr>
          <w:p w14:paraId="0A5F4114" w14:textId="77777777" w:rsidR="00C666AF" w:rsidRPr="00DB0452" w:rsidRDefault="00000000">
            <w:pPr>
              <w:rPr>
                <w:b/>
                <w:bCs/>
                <w:sz w:val="20"/>
                <w:szCs w:val="20"/>
                <w:lang w:val="id-ID"/>
              </w:rPr>
            </w:pPr>
            <w:r w:rsidRPr="00DB0452">
              <w:rPr>
                <w:b/>
                <w:bCs/>
                <w:sz w:val="20"/>
                <w:szCs w:val="20"/>
                <w:lang w:val="id-ID"/>
              </w:rPr>
              <w:t>Species</w:t>
            </w:r>
          </w:p>
        </w:tc>
        <w:tc>
          <w:tcPr>
            <w:tcW w:w="2338" w:type="dxa"/>
            <w:tcBorders>
              <w:top w:val="single" w:sz="4" w:space="0" w:color="auto"/>
              <w:bottom w:val="single" w:sz="4" w:space="0" w:color="auto"/>
            </w:tcBorders>
          </w:tcPr>
          <w:p w14:paraId="03505F41" w14:textId="77777777" w:rsidR="00C666AF" w:rsidRPr="00DB0452" w:rsidRDefault="00000000">
            <w:pPr>
              <w:rPr>
                <w:b/>
                <w:bCs/>
                <w:sz w:val="20"/>
                <w:szCs w:val="20"/>
                <w:lang w:val="id-ID"/>
              </w:rPr>
            </w:pPr>
            <w:r w:rsidRPr="00DB0452">
              <w:rPr>
                <w:b/>
                <w:bCs/>
                <w:sz w:val="20"/>
                <w:szCs w:val="20"/>
                <w:lang w:val="id-ID"/>
              </w:rPr>
              <w:t>Substrates</w:t>
            </w:r>
          </w:p>
        </w:tc>
      </w:tr>
      <w:tr w:rsidR="00C666AF" w:rsidRPr="00DB0452" w14:paraId="0F799FE5" w14:textId="77777777" w:rsidTr="00DB0452">
        <w:trPr>
          <w:jc w:val="center"/>
        </w:trPr>
        <w:tc>
          <w:tcPr>
            <w:tcW w:w="1418" w:type="dxa"/>
            <w:tcBorders>
              <w:top w:val="single" w:sz="4" w:space="0" w:color="auto"/>
            </w:tcBorders>
          </w:tcPr>
          <w:p w14:paraId="1A740E6D" w14:textId="77777777" w:rsidR="00C666AF" w:rsidRPr="00DB0452" w:rsidRDefault="00000000">
            <w:pPr>
              <w:rPr>
                <w:sz w:val="20"/>
                <w:szCs w:val="20"/>
                <w:lang w:val="id-ID"/>
              </w:rPr>
            </w:pPr>
            <w:r w:rsidRPr="00DB0452">
              <w:rPr>
                <w:sz w:val="20"/>
                <w:szCs w:val="20"/>
                <w:lang w:val="id-ID"/>
              </w:rPr>
              <w:t>Basidiomycota</w:t>
            </w:r>
          </w:p>
        </w:tc>
        <w:tc>
          <w:tcPr>
            <w:tcW w:w="1774" w:type="dxa"/>
            <w:tcBorders>
              <w:top w:val="single" w:sz="4" w:space="0" w:color="auto"/>
            </w:tcBorders>
          </w:tcPr>
          <w:p w14:paraId="715A2B49" w14:textId="77777777" w:rsidR="00C666AF" w:rsidRPr="00DB0452" w:rsidRDefault="00000000">
            <w:pPr>
              <w:rPr>
                <w:sz w:val="20"/>
                <w:szCs w:val="20"/>
                <w:lang w:val="id-ID"/>
              </w:rPr>
            </w:pPr>
            <w:r w:rsidRPr="00DB0452">
              <w:rPr>
                <w:sz w:val="20"/>
                <w:szCs w:val="20"/>
                <w:lang w:val="id-ID"/>
              </w:rPr>
              <w:t>Polyporaceae</w:t>
            </w:r>
          </w:p>
        </w:tc>
        <w:tc>
          <w:tcPr>
            <w:tcW w:w="2338" w:type="dxa"/>
            <w:tcBorders>
              <w:top w:val="single" w:sz="4" w:space="0" w:color="auto"/>
            </w:tcBorders>
          </w:tcPr>
          <w:p w14:paraId="2B3B787F" w14:textId="77777777" w:rsidR="00C666AF" w:rsidRPr="00DB0452" w:rsidRDefault="00000000">
            <w:pPr>
              <w:rPr>
                <w:sz w:val="20"/>
                <w:szCs w:val="20"/>
                <w:lang w:val="id-ID"/>
              </w:rPr>
            </w:pPr>
            <w:r w:rsidRPr="00DB0452">
              <w:rPr>
                <w:sz w:val="20"/>
                <w:szCs w:val="20"/>
                <w:lang w:val="id-ID"/>
              </w:rPr>
              <w:t>Hexagonia sp.</w:t>
            </w:r>
          </w:p>
        </w:tc>
        <w:tc>
          <w:tcPr>
            <w:tcW w:w="2338" w:type="dxa"/>
            <w:tcBorders>
              <w:top w:val="single" w:sz="4" w:space="0" w:color="auto"/>
            </w:tcBorders>
          </w:tcPr>
          <w:p w14:paraId="238A660C" w14:textId="77777777" w:rsidR="00C666AF" w:rsidRPr="00DB0452" w:rsidRDefault="00000000">
            <w:pPr>
              <w:rPr>
                <w:sz w:val="20"/>
                <w:szCs w:val="20"/>
                <w:lang w:val="id-ID"/>
              </w:rPr>
            </w:pPr>
            <w:r w:rsidRPr="00DB0452">
              <w:rPr>
                <w:sz w:val="20"/>
                <w:szCs w:val="20"/>
                <w:lang w:val="id-ID"/>
              </w:rPr>
              <w:t>Wood</w:t>
            </w:r>
          </w:p>
        </w:tc>
      </w:tr>
      <w:tr w:rsidR="00C666AF" w:rsidRPr="00DB0452" w14:paraId="5AC66893" w14:textId="77777777" w:rsidTr="00DB0452">
        <w:trPr>
          <w:jc w:val="center"/>
        </w:trPr>
        <w:tc>
          <w:tcPr>
            <w:tcW w:w="1418" w:type="dxa"/>
          </w:tcPr>
          <w:p w14:paraId="47F7DD3F" w14:textId="77777777" w:rsidR="00C666AF" w:rsidRPr="00DB0452" w:rsidRDefault="00000000">
            <w:pPr>
              <w:rPr>
                <w:sz w:val="20"/>
                <w:szCs w:val="20"/>
                <w:lang w:val="id-ID"/>
              </w:rPr>
            </w:pPr>
            <w:r w:rsidRPr="00DB0452">
              <w:rPr>
                <w:sz w:val="20"/>
                <w:szCs w:val="20"/>
                <w:lang w:val="id-ID"/>
              </w:rPr>
              <w:t>Basidiomycota</w:t>
            </w:r>
          </w:p>
        </w:tc>
        <w:tc>
          <w:tcPr>
            <w:tcW w:w="1774" w:type="dxa"/>
          </w:tcPr>
          <w:p w14:paraId="0AEF978D" w14:textId="77777777" w:rsidR="00C666AF" w:rsidRPr="00DB0452" w:rsidRDefault="00000000">
            <w:pPr>
              <w:rPr>
                <w:sz w:val="20"/>
                <w:szCs w:val="20"/>
                <w:lang w:val="id-ID"/>
              </w:rPr>
            </w:pPr>
            <w:r w:rsidRPr="00DB0452">
              <w:rPr>
                <w:sz w:val="20"/>
                <w:szCs w:val="20"/>
                <w:lang w:val="id-ID"/>
              </w:rPr>
              <w:t>Polyporaceae</w:t>
            </w:r>
          </w:p>
        </w:tc>
        <w:tc>
          <w:tcPr>
            <w:tcW w:w="2338" w:type="dxa"/>
          </w:tcPr>
          <w:p w14:paraId="2495B1A6" w14:textId="77777777" w:rsidR="00C666AF" w:rsidRPr="00DB0452" w:rsidRDefault="00000000">
            <w:pPr>
              <w:rPr>
                <w:sz w:val="20"/>
                <w:szCs w:val="20"/>
                <w:lang w:val="id-ID"/>
              </w:rPr>
            </w:pPr>
            <w:r w:rsidRPr="00DB0452">
              <w:rPr>
                <w:sz w:val="20"/>
                <w:szCs w:val="20"/>
                <w:lang w:val="id-ID"/>
              </w:rPr>
              <w:t>Trametes sp.</w:t>
            </w:r>
          </w:p>
        </w:tc>
        <w:tc>
          <w:tcPr>
            <w:tcW w:w="2338" w:type="dxa"/>
          </w:tcPr>
          <w:p w14:paraId="1DCCF457" w14:textId="77777777" w:rsidR="00C666AF" w:rsidRPr="00DB0452" w:rsidRDefault="00000000">
            <w:pPr>
              <w:rPr>
                <w:sz w:val="20"/>
                <w:szCs w:val="20"/>
                <w:lang w:val="id-ID"/>
              </w:rPr>
            </w:pPr>
            <w:r w:rsidRPr="00DB0452">
              <w:rPr>
                <w:sz w:val="20"/>
                <w:szCs w:val="20"/>
                <w:lang w:val="id-ID"/>
              </w:rPr>
              <w:t>Wood</w:t>
            </w:r>
          </w:p>
        </w:tc>
      </w:tr>
      <w:tr w:rsidR="00C666AF" w:rsidRPr="00DB0452" w14:paraId="2F876417" w14:textId="77777777" w:rsidTr="00DB0452">
        <w:trPr>
          <w:jc w:val="center"/>
        </w:trPr>
        <w:tc>
          <w:tcPr>
            <w:tcW w:w="1418" w:type="dxa"/>
          </w:tcPr>
          <w:p w14:paraId="08A6A75F" w14:textId="77777777" w:rsidR="00C666AF" w:rsidRPr="00DB0452" w:rsidRDefault="00000000">
            <w:pPr>
              <w:rPr>
                <w:sz w:val="20"/>
                <w:szCs w:val="20"/>
                <w:lang w:val="id-ID"/>
              </w:rPr>
            </w:pPr>
            <w:r w:rsidRPr="00DB0452">
              <w:rPr>
                <w:sz w:val="20"/>
                <w:szCs w:val="20"/>
                <w:lang w:val="id-ID"/>
              </w:rPr>
              <w:t>Basidiomycota</w:t>
            </w:r>
          </w:p>
        </w:tc>
        <w:tc>
          <w:tcPr>
            <w:tcW w:w="1774" w:type="dxa"/>
          </w:tcPr>
          <w:p w14:paraId="7C6FA46D" w14:textId="77777777" w:rsidR="00C666AF" w:rsidRPr="00DB0452" w:rsidRDefault="00000000">
            <w:pPr>
              <w:rPr>
                <w:sz w:val="20"/>
                <w:szCs w:val="20"/>
                <w:lang w:val="id-ID"/>
              </w:rPr>
            </w:pPr>
            <w:r w:rsidRPr="00DB0452">
              <w:rPr>
                <w:sz w:val="20"/>
                <w:szCs w:val="20"/>
                <w:lang w:val="id-ID"/>
              </w:rPr>
              <w:t>Polyporaceae</w:t>
            </w:r>
          </w:p>
        </w:tc>
        <w:tc>
          <w:tcPr>
            <w:tcW w:w="2338" w:type="dxa"/>
          </w:tcPr>
          <w:p w14:paraId="6203DD49" w14:textId="77777777" w:rsidR="00C666AF" w:rsidRPr="00DB0452" w:rsidRDefault="00000000">
            <w:pPr>
              <w:rPr>
                <w:sz w:val="20"/>
                <w:szCs w:val="20"/>
                <w:lang w:val="id-ID"/>
              </w:rPr>
            </w:pPr>
            <w:r w:rsidRPr="00DB0452">
              <w:rPr>
                <w:sz w:val="20"/>
                <w:szCs w:val="20"/>
                <w:lang w:val="id-ID"/>
              </w:rPr>
              <w:t>Microporus sp.</w:t>
            </w:r>
          </w:p>
        </w:tc>
        <w:tc>
          <w:tcPr>
            <w:tcW w:w="2338" w:type="dxa"/>
          </w:tcPr>
          <w:p w14:paraId="494D24BE" w14:textId="77777777" w:rsidR="00C666AF" w:rsidRPr="00DB0452" w:rsidRDefault="00000000">
            <w:pPr>
              <w:rPr>
                <w:sz w:val="20"/>
                <w:szCs w:val="20"/>
                <w:lang w:val="id-ID"/>
              </w:rPr>
            </w:pPr>
            <w:r w:rsidRPr="00DB0452">
              <w:rPr>
                <w:sz w:val="20"/>
                <w:szCs w:val="20"/>
                <w:lang w:val="id-ID"/>
              </w:rPr>
              <w:t>Twig</w:t>
            </w:r>
          </w:p>
        </w:tc>
      </w:tr>
      <w:tr w:rsidR="00C666AF" w:rsidRPr="00DB0452" w14:paraId="5DAED010" w14:textId="77777777" w:rsidTr="00DB0452">
        <w:trPr>
          <w:jc w:val="center"/>
        </w:trPr>
        <w:tc>
          <w:tcPr>
            <w:tcW w:w="1418" w:type="dxa"/>
          </w:tcPr>
          <w:p w14:paraId="7817A2BD" w14:textId="77777777" w:rsidR="00C666AF" w:rsidRPr="00DB0452" w:rsidRDefault="00000000">
            <w:pPr>
              <w:rPr>
                <w:sz w:val="20"/>
                <w:szCs w:val="20"/>
                <w:lang w:val="id-ID"/>
              </w:rPr>
            </w:pPr>
            <w:r w:rsidRPr="00DB0452">
              <w:rPr>
                <w:sz w:val="20"/>
                <w:szCs w:val="20"/>
                <w:lang w:val="id-ID"/>
              </w:rPr>
              <w:t>Basidiomycota</w:t>
            </w:r>
          </w:p>
        </w:tc>
        <w:tc>
          <w:tcPr>
            <w:tcW w:w="1774" w:type="dxa"/>
          </w:tcPr>
          <w:p w14:paraId="3DCB2B70" w14:textId="77777777" w:rsidR="00C666AF" w:rsidRPr="00DB0452" w:rsidRDefault="00000000">
            <w:pPr>
              <w:rPr>
                <w:sz w:val="20"/>
                <w:szCs w:val="20"/>
                <w:lang w:val="id-ID"/>
              </w:rPr>
            </w:pPr>
            <w:r w:rsidRPr="00DB0452">
              <w:rPr>
                <w:sz w:val="20"/>
                <w:szCs w:val="20"/>
                <w:lang w:val="id-ID"/>
              </w:rPr>
              <w:t>Polyporaceae</w:t>
            </w:r>
          </w:p>
        </w:tc>
        <w:tc>
          <w:tcPr>
            <w:tcW w:w="2338" w:type="dxa"/>
          </w:tcPr>
          <w:p w14:paraId="364E4E6A" w14:textId="77777777" w:rsidR="00C666AF" w:rsidRPr="00DB0452" w:rsidRDefault="00000000">
            <w:pPr>
              <w:rPr>
                <w:sz w:val="20"/>
                <w:szCs w:val="20"/>
                <w:lang w:val="id-ID"/>
              </w:rPr>
            </w:pPr>
            <w:r w:rsidRPr="00DB0452">
              <w:rPr>
                <w:sz w:val="20"/>
                <w:szCs w:val="20"/>
                <w:lang w:val="id-ID"/>
              </w:rPr>
              <w:t>Daedaleopsis sp.</w:t>
            </w:r>
          </w:p>
        </w:tc>
        <w:tc>
          <w:tcPr>
            <w:tcW w:w="2338" w:type="dxa"/>
          </w:tcPr>
          <w:p w14:paraId="75231378" w14:textId="77777777" w:rsidR="00C666AF" w:rsidRPr="00DB0452" w:rsidRDefault="00000000">
            <w:pPr>
              <w:rPr>
                <w:sz w:val="20"/>
                <w:szCs w:val="20"/>
                <w:lang w:val="id-ID"/>
              </w:rPr>
            </w:pPr>
            <w:r w:rsidRPr="00DB0452">
              <w:rPr>
                <w:sz w:val="20"/>
                <w:szCs w:val="20"/>
                <w:lang w:val="id-ID"/>
              </w:rPr>
              <w:t>Wood</w:t>
            </w:r>
          </w:p>
        </w:tc>
      </w:tr>
      <w:tr w:rsidR="00C666AF" w:rsidRPr="00DB0452" w14:paraId="4C3D53B3" w14:textId="77777777" w:rsidTr="00DB0452">
        <w:trPr>
          <w:jc w:val="center"/>
        </w:trPr>
        <w:tc>
          <w:tcPr>
            <w:tcW w:w="1418" w:type="dxa"/>
          </w:tcPr>
          <w:p w14:paraId="1670DE31" w14:textId="77777777" w:rsidR="00C666AF" w:rsidRPr="00DB0452" w:rsidRDefault="00000000">
            <w:pPr>
              <w:rPr>
                <w:sz w:val="20"/>
                <w:szCs w:val="20"/>
                <w:lang w:val="id-ID"/>
              </w:rPr>
            </w:pPr>
            <w:r w:rsidRPr="00DB0452">
              <w:rPr>
                <w:sz w:val="20"/>
                <w:szCs w:val="20"/>
                <w:lang w:val="id-ID"/>
              </w:rPr>
              <w:t>Basidiomycota</w:t>
            </w:r>
          </w:p>
        </w:tc>
        <w:tc>
          <w:tcPr>
            <w:tcW w:w="1774" w:type="dxa"/>
          </w:tcPr>
          <w:p w14:paraId="0308B241" w14:textId="77777777" w:rsidR="00C666AF" w:rsidRPr="00DB0452" w:rsidRDefault="00000000">
            <w:pPr>
              <w:rPr>
                <w:sz w:val="20"/>
                <w:szCs w:val="20"/>
                <w:lang w:val="id-ID"/>
              </w:rPr>
            </w:pPr>
            <w:r w:rsidRPr="00DB0452">
              <w:rPr>
                <w:sz w:val="20"/>
                <w:szCs w:val="20"/>
                <w:lang w:val="id-ID"/>
              </w:rPr>
              <w:t>Irpicaceae</w:t>
            </w:r>
          </w:p>
        </w:tc>
        <w:tc>
          <w:tcPr>
            <w:tcW w:w="2338" w:type="dxa"/>
          </w:tcPr>
          <w:p w14:paraId="7FAB20C8" w14:textId="77777777" w:rsidR="00C666AF" w:rsidRPr="00DB0452" w:rsidRDefault="00000000">
            <w:pPr>
              <w:rPr>
                <w:sz w:val="20"/>
                <w:szCs w:val="20"/>
                <w:lang w:val="id-ID"/>
              </w:rPr>
            </w:pPr>
            <w:r w:rsidRPr="00DB0452">
              <w:rPr>
                <w:sz w:val="20"/>
                <w:szCs w:val="20"/>
                <w:lang w:val="id-ID"/>
              </w:rPr>
              <w:t>Irpex sp</w:t>
            </w:r>
          </w:p>
        </w:tc>
        <w:tc>
          <w:tcPr>
            <w:tcW w:w="2338" w:type="dxa"/>
          </w:tcPr>
          <w:p w14:paraId="63158933" w14:textId="77777777" w:rsidR="00C666AF" w:rsidRPr="00DB0452" w:rsidRDefault="00000000">
            <w:pPr>
              <w:rPr>
                <w:sz w:val="20"/>
                <w:szCs w:val="20"/>
                <w:lang w:val="id-ID"/>
              </w:rPr>
            </w:pPr>
            <w:r w:rsidRPr="00DB0452">
              <w:rPr>
                <w:sz w:val="20"/>
                <w:szCs w:val="20"/>
                <w:lang w:val="id-ID"/>
              </w:rPr>
              <w:t>Twigs</w:t>
            </w:r>
          </w:p>
        </w:tc>
      </w:tr>
      <w:tr w:rsidR="00C666AF" w:rsidRPr="00DB0452" w14:paraId="3E8B1473" w14:textId="77777777" w:rsidTr="00DB0452">
        <w:trPr>
          <w:jc w:val="center"/>
        </w:trPr>
        <w:tc>
          <w:tcPr>
            <w:tcW w:w="1418" w:type="dxa"/>
          </w:tcPr>
          <w:p w14:paraId="67C0E2A0" w14:textId="77777777" w:rsidR="00C666AF" w:rsidRPr="00DB0452" w:rsidRDefault="00000000">
            <w:pPr>
              <w:rPr>
                <w:sz w:val="20"/>
                <w:szCs w:val="20"/>
                <w:lang w:val="id-ID"/>
              </w:rPr>
            </w:pPr>
            <w:r w:rsidRPr="00DB0452">
              <w:rPr>
                <w:sz w:val="20"/>
                <w:szCs w:val="20"/>
                <w:lang w:val="id-ID"/>
              </w:rPr>
              <w:t>Basidiomycota</w:t>
            </w:r>
          </w:p>
        </w:tc>
        <w:tc>
          <w:tcPr>
            <w:tcW w:w="1774" w:type="dxa"/>
          </w:tcPr>
          <w:p w14:paraId="6DC303D7" w14:textId="77777777" w:rsidR="00C666AF" w:rsidRPr="00DB0452" w:rsidRDefault="00000000">
            <w:pPr>
              <w:rPr>
                <w:sz w:val="20"/>
                <w:szCs w:val="20"/>
                <w:lang w:val="id-ID"/>
              </w:rPr>
            </w:pPr>
            <w:r w:rsidRPr="00DB0452">
              <w:rPr>
                <w:sz w:val="20"/>
                <w:szCs w:val="20"/>
                <w:lang w:val="id-ID"/>
              </w:rPr>
              <w:t>Polyporaceae</w:t>
            </w:r>
          </w:p>
        </w:tc>
        <w:tc>
          <w:tcPr>
            <w:tcW w:w="2338" w:type="dxa"/>
          </w:tcPr>
          <w:p w14:paraId="6D7748A3" w14:textId="77777777" w:rsidR="00C666AF" w:rsidRPr="00DB0452" w:rsidRDefault="00000000">
            <w:pPr>
              <w:rPr>
                <w:sz w:val="20"/>
                <w:szCs w:val="20"/>
                <w:lang w:val="id-ID"/>
              </w:rPr>
            </w:pPr>
            <w:r w:rsidRPr="00DB0452">
              <w:rPr>
                <w:sz w:val="20"/>
                <w:szCs w:val="20"/>
                <w:lang w:val="id-ID"/>
              </w:rPr>
              <w:t>Podofomes sp,</w:t>
            </w:r>
          </w:p>
        </w:tc>
        <w:tc>
          <w:tcPr>
            <w:tcW w:w="2338" w:type="dxa"/>
          </w:tcPr>
          <w:p w14:paraId="142A8709" w14:textId="77777777" w:rsidR="00C666AF" w:rsidRPr="00DB0452" w:rsidRDefault="00000000">
            <w:pPr>
              <w:rPr>
                <w:sz w:val="20"/>
                <w:szCs w:val="20"/>
                <w:lang w:val="id-ID"/>
              </w:rPr>
            </w:pPr>
            <w:r w:rsidRPr="00DB0452">
              <w:rPr>
                <w:sz w:val="20"/>
                <w:szCs w:val="20"/>
                <w:lang w:val="id-ID"/>
              </w:rPr>
              <w:t>Wood</w:t>
            </w:r>
          </w:p>
        </w:tc>
      </w:tr>
      <w:tr w:rsidR="00C666AF" w:rsidRPr="00DB0452" w14:paraId="09161ED7" w14:textId="77777777" w:rsidTr="00DB0452">
        <w:trPr>
          <w:jc w:val="center"/>
        </w:trPr>
        <w:tc>
          <w:tcPr>
            <w:tcW w:w="1418" w:type="dxa"/>
          </w:tcPr>
          <w:p w14:paraId="789C51BF" w14:textId="77777777" w:rsidR="00C666AF" w:rsidRPr="00DB0452" w:rsidRDefault="00000000">
            <w:pPr>
              <w:rPr>
                <w:sz w:val="20"/>
                <w:szCs w:val="20"/>
                <w:lang w:val="id-ID"/>
              </w:rPr>
            </w:pPr>
            <w:r w:rsidRPr="00DB0452">
              <w:rPr>
                <w:sz w:val="20"/>
                <w:szCs w:val="20"/>
                <w:lang w:val="id-ID"/>
              </w:rPr>
              <w:t>Basidiomycota</w:t>
            </w:r>
          </w:p>
        </w:tc>
        <w:tc>
          <w:tcPr>
            <w:tcW w:w="1774" w:type="dxa"/>
          </w:tcPr>
          <w:p w14:paraId="1FF901A7" w14:textId="77777777" w:rsidR="00C666AF" w:rsidRPr="00DB0452" w:rsidRDefault="00000000">
            <w:pPr>
              <w:rPr>
                <w:sz w:val="20"/>
                <w:szCs w:val="20"/>
                <w:lang w:val="id-ID"/>
              </w:rPr>
            </w:pPr>
            <w:r w:rsidRPr="00DB0452">
              <w:rPr>
                <w:sz w:val="20"/>
                <w:szCs w:val="20"/>
                <w:lang w:val="id-ID"/>
              </w:rPr>
              <w:t>Hymenochaetaceae</w:t>
            </w:r>
          </w:p>
        </w:tc>
        <w:tc>
          <w:tcPr>
            <w:tcW w:w="2338" w:type="dxa"/>
          </w:tcPr>
          <w:p w14:paraId="2EC1217C" w14:textId="77777777" w:rsidR="00C666AF" w:rsidRPr="00DB0452" w:rsidRDefault="00000000">
            <w:pPr>
              <w:rPr>
                <w:sz w:val="20"/>
                <w:szCs w:val="20"/>
                <w:lang w:val="id-ID"/>
              </w:rPr>
            </w:pPr>
            <w:r w:rsidRPr="00DB0452">
              <w:rPr>
                <w:sz w:val="20"/>
                <w:szCs w:val="20"/>
                <w:lang w:val="id-ID"/>
              </w:rPr>
              <w:t>Phylloporia sp.</w:t>
            </w:r>
          </w:p>
        </w:tc>
        <w:tc>
          <w:tcPr>
            <w:tcW w:w="2338" w:type="dxa"/>
          </w:tcPr>
          <w:p w14:paraId="422E6644" w14:textId="77777777" w:rsidR="00C666AF" w:rsidRPr="00DB0452" w:rsidRDefault="00000000">
            <w:pPr>
              <w:rPr>
                <w:sz w:val="20"/>
                <w:szCs w:val="20"/>
                <w:lang w:val="id-ID"/>
              </w:rPr>
            </w:pPr>
            <w:r w:rsidRPr="00DB0452">
              <w:rPr>
                <w:sz w:val="20"/>
                <w:szCs w:val="20"/>
                <w:lang w:val="id-ID"/>
              </w:rPr>
              <w:t>Wood</w:t>
            </w:r>
          </w:p>
        </w:tc>
      </w:tr>
      <w:tr w:rsidR="00C666AF" w:rsidRPr="00DB0452" w14:paraId="3BDEB5D4" w14:textId="77777777" w:rsidTr="00DB0452">
        <w:trPr>
          <w:jc w:val="center"/>
        </w:trPr>
        <w:tc>
          <w:tcPr>
            <w:tcW w:w="1418" w:type="dxa"/>
          </w:tcPr>
          <w:p w14:paraId="30A9D34E" w14:textId="77777777" w:rsidR="00C666AF" w:rsidRPr="00DB0452" w:rsidRDefault="00000000">
            <w:pPr>
              <w:rPr>
                <w:sz w:val="20"/>
                <w:szCs w:val="20"/>
                <w:lang w:val="id-ID"/>
              </w:rPr>
            </w:pPr>
            <w:r w:rsidRPr="00DB0452">
              <w:rPr>
                <w:sz w:val="20"/>
                <w:szCs w:val="20"/>
                <w:lang w:val="id-ID"/>
              </w:rPr>
              <w:t>Basidiomycota</w:t>
            </w:r>
          </w:p>
        </w:tc>
        <w:tc>
          <w:tcPr>
            <w:tcW w:w="1774" w:type="dxa"/>
          </w:tcPr>
          <w:p w14:paraId="7E1C2FD3" w14:textId="77777777" w:rsidR="00C666AF" w:rsidRPr="00DB0452" w:rsidRDefault="00000000">
            <w:pPr>
              <w:rPr>
                <w:sz w:val="20"/>
                <w:szCs w:val="20"/>
                <w:lang w:val="id-ID"/>
              </w:rPr>
            </w:pPr>
            <w:r w:rsidRPr="00DB0452">
              <w:rPr>
                <w:sz w:val="20"/>
                <w:szCs w:val="20"/>
                <w:lang w:val="id-ID"/>
              </w:rPr>
              <w:t>Gloeophyllaceae</w:t>
            </w:r>
          </w:p>
        </w:tc>
        <w:tc>
          <w:tcPr>
            <w:tcW w:w="2338" w:type="dxa"/>
          </w:tcPr>
          <w:p w14:paraId="1A639F5A" w14:textId="77777777" w:rsidR="00C666AF" w:rsidRPr="00DB0452" w:rsidRDefault="00000000">
            <w:pPr>
              <w:rPr>
                <w:sz w:val="20"/>
                <w:szCs w:val="20"/>
                <w:lang w:val="id-ID"/>
              </w:rPr>
            </w:pPr>
            <w:r w:rsidRPr="00DB0452">
              <w:rPr>
                <w:sz w:val="20"/>
                <w:szCs w:val="20"/>
                <w:lang w:val="id-ID"/>
              </w:rPr>
              <w:t xml:space="preserve">Gloeophyllum sp. </w:t>
            </w:r>
          </w:p>
        </w:tc>
        <w:tc>
          <w:tcPr>
            <w:tcW w:w="2338" w:type="dxa"/>
          </w:tcPr>
          <w:p w14:paraId="7AE4F02C" w14:textId="77777777" w:rsidR="00C666AF" w:rsidRPr="00DB0452" w:rsidRDefault="00000000">
            <w:pPr>
              <w:rPr>
                <w:sz w:val="20"/>
                <w:szCs w:val="20"/>
                <w:lang w:val="id-ID"/>
              </w:rPr>
            </w:pPr>
            <w:r w:rsidRPr="00DB0452">
              <w:rPr>
                <w:sz w:val="20"/>
                <w:szCs w:val="20"/>
                <w:lang w:val="id-ID"/>
              </w:rPr>
              <w:t xml:space="preserve">Twigs </w:t>
            </w:r>
          </w:p>
        </w:tc>
      </w:tr>
      <w:tr w:rsidR="00C666AF" w:rsidRPr="00DB0452" w14:paraId="69A2301A" w14:textId="77777777" w:rsidTr="00DB0452">
        <w:trPr>
          <w:jc w:val="center"/>
        </w:trPr>
        <w:tc>
          <w:tcPr>
            <w:tcW w:w="1418" w:type="dxa"/>
          </w:tcPr>
          <w:p w14:paraId="69F26AF1" w14:textId="77777777" w:rsidR="00C666AF" w:rsidRPr="00DB0452" w:rsidRDefault="00000000">
            <w:pPr>
              <w:rPr>
                <w:sz w:val="20"/>
                <w:szCs w:val="20"/>
                <w:lang w:val="id-ID"/>
              </w:rPr>
            </w:pPr>
            <w:r w:rsidRPr="00DB0452">
              <w:rPr>
                <w:sz w:val="20"/>
                <w:szCs w:val="20"/>
                <w:lang w:val="id-ID"/>
              </w:rPr>
              <w:t>Basidiomycota</w:t>
            </w:r>
          </w:p>
        </w:tc>
        <w:tc>
          <w:tcPr>
            <w:tcW w:w="1774" w:type="dxa"/>
          </w:tcPr>
          <w:p w14:paraId="13FD9318" w14:textId="77777777" w:rsidR="00C666AF" w:rsidRPr="00DB0452" w:rsidRDefault="00000000">
            <w:pPr>
              <w:rPr>
                <w:sz w:val="20"/>
                <w:szCs w:val="20"/>
                <w:lang w:val="id-ID"/>
              </w:rPr>
            </w:pPr>
            <w:r w:rsidRPr="00DB0452">
              <w:rPr>
                <w:sz w:val="20"/>
                <w:szCs w:val="20"/>
                <w:lang w:val="id-ID"/>
              </w:rPr>
              <w:t>Hymenochaetaceae</w:t>
            </w:r>
          </w:p>
        </w:tc>
        <w:tc>
          <w:tcPr>
            <w:tcW w:w="2338" w:type="dxa"/>
          </w:tcPr>
          <w:p w14:paraId="0200B6A5" w14:textId="77777777" w:rsidR="00C666AF" w:rsidRPr="00DB0452" w:rsidRDefault="00000000">
            <w:pPr>
              <w:rPr>
                <w:sz w:val="20"/>
                <w:szCs w:val="20"/>
                <w:lang w:val="id-ID"/>
              </w:rPr>
            </w:pPr>
            <w:r w:rsidRPr="00DB0452">
              <w:rPr>
                <w:sz w:val="20"/>
                <w:szCs w:val="20"/>
                <w:lang w:val="id-ID"/>
              </w:rPr>
              <w:t xml:space="preserve">Phellinus sp. </w:t>
            </w:r>
          </w:p>
        </w:tc>
        <w:tc>
          <w:tcPr>
            <w:tcW w:w="2338" w:type="dxa"/>
          </w:tcPr>
          <w:p w14:paraId="706B90E2" w14:textId="77777777" w:rsidR="00C666AF" w:rsidRPr="00DB0452" w:rsidRDefault="00000000">
            <w:pPr>
              <w:rPr>
                <w:sz w:val="20"/>
                <w:szCs w:val="20"/>
                <w:lang w:val="id-ID"/>
              </w:rPr>
            </w:pPr>
            <w:r w:rsidRPr="00DB0452">
              <w:rPr>
                <w:sz w:val="20"/>
                <w:szCs w:val="20"/>
                <w:lang w:val="id-ID"/>
              </w:rPr>
              <w:t>Wood</w:t>
            </w:r>
          </w:p>
        </w:tc>
      </w:tr>
      <w:tr w:rsidR="00C666AF" w:rsidRPr="00DB0452" w14:paraId="46018733" w14:textId="77777777" w:rsidTr="00DB0452">
        <w:trPr>
          <w:jc w:val="center"/>
        </w:trPr>
        <w:tc>
          <w:tcPr>
            <w:tcW w:w="1418" w:type="dxa"/>
          </w:tcPr>
          <w:p w14:paraId="0E1C4BE9" w14:textId="77777777" w:rsidR="00C666AF" w:rsidRPr="00DB0452" w:rsidRDefault="00000000">
            <w:pPr>
              <w:rPr>
                <w:sz w:val="20"/>
                <w:szCs w:val="20"/>
                <w:lang w:val="id-ID"/>
              </w:rPr>
            </w:pPr>
            <w:r w:rsidRPr="00DB0452">
              <w:rPr>
                <w:sz w:val="20"/>
                <w:szCs w:val="20"/>
                <w:lang w:val="id-ID"/>
              </w:rPr>
              <w:t>Basidiomycota</w:t>
            </w:r>
          </w:p>
        </w:tc>
        <w:tc>
          <w:tcPr>
            <w:tcW w:w="1774" w:type="dxa"/>
          </w:tcPr>
          <w:p w14:paraId="6E98E3C9" w14:textId="77777777" w:rsidR="00C666AF" w:rsidRPr="00DB0452" w:rsidRDefault="00000000">
            <w:pPr>
              <w:rPr>
                <w:sz w:val="20"/>
                <w:szCs w:val="20"/>
                <w:lang w:val="id-ID"/>
              </w:rPr>
            </w:pPr>
            <w:r w:rsidRPr="00DB0452">
              <w:rPr>
                <w:sz w:val="20"/>
                <w:szCs w:val="20"/>
                <w:lang w:val="id-ID"/>
              </w:rPr>
              <w:t>Stereaceae</w:t>
            </w:r>
          </w:p>
        </w:tc>
        <w:tc>
          <w:tcPr>
            <w:tcW w:w="2338" w:type="dxa"/>
          </w:tcPr>
          <w:p w14:paraId="7A67946C" w14:textId="77777777" w:rsidR="00C666AF" w:rsidRPr="00DB0452" w:rsidRDefault="00000000">
            <w:pPr>
              <w:rPr>
                <w:sz w:val="20"/>
                <w:szCs w:val="20"/>
                <w:lang w:val="id-ID"/>
              </w:rPr>
            </w:pPr>
            <w:r w:rsidRPr="00DB0452">
              <w:rPr>
                <w:sz w:val="20"/>
                <w:szCs w:val="20"/>
                <w:lang w:val="id-ID"/>
              </w:rPr>
              <w:t>Stereum sp.</w:t>
            </w:r>
          </w:p>
        </w:tc>
        <w:tc>
          <w:tcPr>
            <w:tcW w:w="2338" w:type="dxa"/>
          </w:tcPr>
          <w:p w14:paraId="72B5DD8E" w14:textId="77777777" w:rsidR="00C666AF" w:rsidRPr="00DB0452" w:rsidRDefault="00000000">
            <w:pPr>
              <w:rPr>
                <w:sz w:val="20"/>
                <w:szCs w:val="20"/>
                <w:lang w:val="id-ID"/>
              </w:rPr>
            </w:pPr>
            <w:r w:rsidRPr="00DB0452">
              <w:rPr>
                <w:sz w:val="20"/>
                <w:szCs w:val="20"/>
                <w:lang w:val="id-ID"/>
              </w:rPr>
              <w:t>Wood</w:t>
            </w:r>
          </w:p>
        </w:tc>
      </w:tr>
      <w:tr w:rsidR="00C666AF" w:rsidRPr="00DB0452" w14:paraId="59EEBB5B" w14:textId="77777777" w:rsidTr="00DB0452">
        <w:trPr>
          <w:jc w:val="center"/>
        </w:trPr>
        <w:tc>
          <w:tcPr>
            <w:tcW w:w="1418" w:type="dxa"/>
            <w:tcBorders>
              <w:bottom w:val="single" w:sz="4" w:space="0" w:color="auto"/>
            </w:tcBorders>
          </w:tcPr>
          <w:p w14:paraId="43AC77AF" w14:textId="77777777" w:rsidR="00C666AF" w:rsidRPr="00DB0452" w:rsidRDefault="00000000">
            <w:pPr>
              <w:rPr>
                <w:sz w:val="20"/>
                <w:szCs w:val="20"/>
                <w:lang w:val="id-ID"/>
              </w:rPr>
            </w:pPr>
            <w:r w:rsidRPr="00DB0452">
              <w:rPr>
                <w:sz w:val="20"/>
                <w:szCs w:val="20"/>
                <w:lang w:val="id-ID"/>
              </w:rPr>
              <w:t>Ascomycota</w:t>
            </w:r>
          </w:p>
        </w:tc>
        <w:tc>
          <w:tcPr>
            <w:tcW w:w="1774" w:type="dxa"/>
            <w:tcBorders>
              <w:bottom w:val="single" w:sz="4" w:space="0" w:color="auto"/>
            </w:tcBorders>
          </w:tcPr>
          <w:p w14:paraId="4A784B57" w14:textId="77777777" w:rsidR="00C666AF" w:rsidRPr="00DB0452" w:rsidRDefault="00000000">
            <w:pPr>
              <w:rPr>
                <w:sz w:val="20"/>
                <w:szCs w:val="20"/>
                <w:lang w:val="id-ID"/>
              </w:rPr>
            </w:pPr>
            <w:r w:rsidRPr="00DB0452">
              <w:rPr>
                <w:sz w:val="20"/>
                <w:szCs w:val="20"/>
                <w:lang w:val="id-ID"/>
              </w:rPr>
              <w:t>Xylariaceae</w:t>
            </w:r>
          </w:p>
        </w:tc>
        <w:tc>
          <w:tcPr>
            <w:tcW w:w="2338" w:type="dxa"/>
            <w:tcBorders>
              <w:bottom w:val="single" w:sz="4" w:space="0" w:color="auto"/>
            </w:tcBorders>
          </w:tcPr>
          <w:p w14:paraId="03EF2F7C" w14:textId="77777777" w:rsidR="00C666AF" w:rsidRPr="00DB0452" w:rsidRDefault="00000000">
            <w:pPr>
              <w:rPr>
                <w:sz w:val="20"/>
                <w:szCs w:val="20"/>
                <w:lang w:val="id-ID"/>
              </w:rPr>
            </w:pPr>
            <w:r w:rsidRPr="00DB0452">
              <w:rPr>
                <w:sz w:val="20"/>
                <w:szCs w:val="20"/>
                <w:lang w:val="id-ID"/>
              </w:rPr>
              <w:t>Xylaria sp.</w:t>
            </w:r>
          </w:p>
        </w:tc>
        <w:tc>
          <w:tcPr>
            <w:tcW w:w="2338" w:type="dxa"/>
            <w:tcBorders>
              <w:bottom w:val="single" w:sz="4" w:space="0" w:color="auto"/>
            </w:tcBorders>
          </w:tcPr>
          <w:p w14:paraId="09FD6A96" w14:textId="77777777" w:rsidR="00C666AF" w:rsidRPr="00DB0452" w:rsidRDefault="00000000">
            <w:pPr>
              <w:rPr>
                <w:sz w:val="20"/>
                <w:szCs w:val="20"/>
                <w:lang w:val="id-ID"/>
              </w:rPr>
            </w:pPr>
            <w:r w:rsidRPr="00DB0452">
              <w:rPr>
                <w:sz w:val="20"/>
                <w:szCs w:val="20"/>
                <w:lang w:val="id-ID"/>
              </w:rPr>
              <w:t>Wood</w:t>
            </w:r>
          </w:p>
        </w:tc>
      </w:tr>
    </w:tbl>
    <w:p w14:paraId="36967B1C" w14:textId="77777777" w:rsidR="00C666AF" w:rsidRPr="00781948" w:rsidRDefault="00C666AF">
      <w:pPr>
        <w:rPr>
          <w:sz w:val="22"/>
          <w:szCs w:val="22"/>
          <w:lang w:val="id-ID"/>
        </w:rPr>
      </w:pPr>
    </w:p>
    <w:p w14:paraId="45FDADF9" w14:textId="77777777" w:rsidR="00C666AF" w:rsidRPr="00781948" w:rsidRDefault="00C666AF">
      <w:pPr>
        <w:ind w:firstLine="720"/>
        <w:jc w:val="both"/>
        <w:rPr>
          <w:sz w:val="22"/>
          <w:szCs w:val="22"/>
          <w:lang w:val="id-ID"/>
        </w:rPr>
        <w:sectPr w:rsidR="00C666AF" w:rsidRPr="00781948">
          <w:type w:val="continuous"/>
          <w:pgSz w:w="11894" w:h="16157" w:code="9"/>
          <w:pgMar w:top="1440" w:right="1440" w:bottom="1440" w:left="1440" w:header="851" w:footer="941" w:gutter="0"/>
          <w:cols w:space="431"/>
          <w:docGrid w:linePitch="360"/>
        </w:sectPr>
      </w:pPr>
    </w:p>
    <w:p w14:paraId="30080A44" w14:textId="1A816964" w:rsidR="00C666AF" w:rsidRPr="00781948" w:rsidRDefault="00000000" w:rsidP="00DB0452">
      <w:pPr>
        <w:widowControl w:val="0"/>
        <w:ind w:firstLine="540"/>
        <w:jc w:val="both"/>
        <w:rPr>
          <w:sz w:val="22"/>
          <w:szCs w:val="22"/>
          <w:lang w:val="id-ID"/>
        </w:rPr>
      </w:pPr>
      <w:r w:rsidRPr="00781948">
        <w:rPr>
          <w:sz w:val="22"/>
          <w:szCs w:val="22"/>
          <w:lang w:val="id-ID"/>
        </w:rPr>
        <w:t xml:space="preserve">The most abundant family among the macrofungi is </w:t>
      </w:r>
      <w:r w:rsidRPr="00781948">
        <w:rPr>
          <w:i/>
          <w:iCs/>
          <w:sz w:val="22"/>
          <w:szCs w:val="22"/>
          <w:lang w:val="id-ID"/>
        </w:rPr>
        <w:t>Polyporaceae</w:t>
      </w:r>
      <w:r w:rsidRPr="00781948">
        <w:rPr>
          <w:sz w:val="22"/>
          <w:szCs w:val="22"/>
          <w:lang w:val="id-ID"/>
        </w:rPr>
        <w:t xml:space="preserve">, which includes five species: </w:t>
      </w:r>
      <w:r w:rsidRPr="00781948">
        <w:rPr>
          <w:i/>
          <w:iCs/>
          <w:sz w:val="22"/>
          <w:szCs w:val="22"/>
          <w:lang w:val="id-ID"/>
        </w:rPr>
        <w:t>Hexagonia</w:t>
      </w:r>
      <w:r w:rsidRPr="00781948">
        <w:rPr>
          <w:sz w:val="22"/>
          <w:szCs w:val="22"/>
          <w:lang w:val="id-ID"/>
        </w:rPr>
        <w:t xml:space="preserve"> sp., </w:t>
      </w:r>
      <w:r w:rsidRPr="00781948">
        <w:rPr>
          <w:i/>
          <w:iCs/>
          <w:sz w:val="22"/>
          <w:szCs w:val="22"/>
          <w:lang w:val="id-ID"/>
        </w:rPr>
        <w:t>Trametes</w:t>
      </w:r>
      <w:r w:rsidRPr="00781948">
        <w:rPr>
          <w:sz w:val="22"/>
          <w:szCs w:val="22"/>
          <w:lang w:val="id-ID"/>
        </w:rPr>
        <w:t xml:space="preserve"> sp., </w:t>
      </w:r>
      <w:r w:rsidRPr="00781948">
        <w:rPr>
          <w:i/>
          <w:iCs/>
          <w:sz w:val="22"/>
          <w:szCs w:val="22"/>
          <w:lang w:val="id-ID"/>
        </w:rPr>
        <w:t>Microporus</w:t>
      </w:r>
      <w:r w:rsidRPr="00781948">
        <w:rPr>
          <w:sz w:val="22"/>
          <w:szCs w:val="22"/>
          <w:lang w:val="id-ID"/>
        </w:rPr>
        <w:t xml:space="preserve"> sp., </w:t>
      </w:r>
      <w:r w:rsidRPr="00781948">
        <w:rPr>
          <w:i/>
          <w:iCs/>
          <w:sz w:val="22"/>
          <w:szCs w:val="22"/>
          <w:lang w:val="id-ID"/>
        </w:rPr>
        <w:t>Daedalopsis</w:t>
      </w:r>
      <w:r w:rsidRPr="00781948">
        <w:rPr>
          <w:sz w:val="22"/>
          <w:szCs w:val="22"/>
          <w:lang w:val="id-ID"/>
        </w:rPr>
        <w:t xml:space="preserve"> sp., and </w:t>
      </w:r>
      <w:r w:rsidRPr="00781948">
        <w:rPr>
          <w:i/>
          <w:iCs/>
          <w:sz w:val="22"/>
          <w:szCs w:val="22"/>
          <w:lang w:val="id-ID"/>
        </w:rPr>
        <w:t>Podofomes</w:t>
      </w:r>
      <w:r w:rsidRPr="00781948">
        <w:rPr>
          <w:sz w:val="22"/>
          <w:szCs w:val="22"/>
          <w:lang w:val="id-ID"/>
        </w:rPr>
        <w:t xml:space="preserve"> sp. This is followed by </w:t>
      </w:r>
      <w:r w:rsidRPr="00781948">
        <w:rPr>
          <w:i/>
          <w:iCs/>
          <w:sz w:val="22"/>
          <w:szCs w:val="22"/>
          <w:lang w:val="id-ID"/>
        </w:rPr>
        <w:t>Hymenochaetaceae</w:t>
      </w:r>
      <w:r w:rsidRPr="00781948">
        <w:rPr>
          <w:sz w:val="22"/>
          <w:szCs w:val="22"/>
          <w:lang w:val="id-ID"/>
        </w:rPr>
        <w:t xml:space="preserve">, which includes two species: </w:t>
      </w:r>
      <w:r w:rsidRPr="00781948">
        <w:rPr>
          <w:i/>
          <w:iCs/>
          <w:sz w:val="22"/>
          <w:szCs w:val="22"/>
          <w:lang w:val="id-ID"/>
        </w:rPr>
        <w:t>Phylloporia</w:t>
      </w:r>
      <w:r w:rsidRPr="00781948">
        <w:rPr>
          <w:sz w:val="22"/>
          <w:szCs w:val="22"/>
          <w:lang w:val="id-ID"/>
        </w:rPr>
        <w:t xml:space="preserve"> sp. and </w:t>
      </w:r>
      <w:r w:rsidRPr="00781948">
        <w:rPr>
          <w:i/>
          <w:iCs/>
          <w:sz w:val="22"/>
          <w:szCs w:val="22"/>
          <w:lang w:val="id-ID"/>
        </w:rPr>
        <w:t>Phellinus</w:t>
      </w:r>
      <w:r w:rsidRPr="00781948">
        <w:rPr>
          <w:sz w:val="22"/>
          <w:szCs w:val="22"/>
          <w:lang w:val="id-ID"/>
        </w:rPr>
        <w:t xml:space="preserve"> sp. The remaining families each contributed to one species, including Irpicaceae (Irpex sp.), </w:t>
      </w:r>
      <w:r w:rsidRPr="00781948">
        <w:rPr>
          <w:i/>
          <w:iCs/>
          <w:sz w:val="22"/>
          <w:szCs w:val="22"/>
          <w:lang w:val="id-ID"/>
        </w:rPr>
        <w:t>Gloeophyllaceae</w:t>
      </w:r>
      <w:r w:rsidRPr="00781948">
        <w:rPr>
          <w:sz w:val="22"/>
          <w:szCs w:val="22"/>
          <w:lang w:val="id-ID"/>
        </w:rPr>
        <w:t xml:space="preserve"> (</w:t>
      </w:r>
      <w:r w:rsidRPr="00781948">
        <w:rPr>
          <w:i/>
          <w:iCs/>
          <w:sz w:val="22"/>
          <w:szCs w:val="22"/>
          <w:lang w:val="id-ID"/>
        </w:rPr>
        <w:t>Gloeophyllum</w:t>
      </w:r>
      <w:r w:rsidRPr="00781948">
        <w:rPr>
          <w:sz w:val="22"/>
          <w:szCs w:val="22"/>
          <w:lang w:val="id-ID"/>
        </w:rPr>
        <w:t xml:space="preserve"> sp.), </w:t>
      </w:r>
      <w:r w:rsidRPr="00781948">
        <w:rPr>
          <w:i/>
          <w:iCs/>
          <w:sz w:val="22"/>
          <w:szCs w:val="22"/>
          <w:lang w:val="id-ID"/>
        </w:rPr>
        <w:t>Stereaceae</w:t>
      </w:r>
      <w:r w:rsidRPr="00781948">
        <w:rPr>
          <w:sz w:val="22"/>
          <w:szCs w:val="22"/>
          <w:lang w:val="id-ID"/>
        </w:rPr>
        <w:t xml:space="preserve"> (</w:t>
      </w:r>
      <w:r w:rsidRPr="00781948">
        <w:rPr>
          <w:i/>
          <w:iCs/>
          <w:sz w:val="22"/>
          <w:szCs w:val="22"/>
          <w:lang w:val="id-ID"/>
        </w:rPr>
        <w:t>Stereum</w:t>
      </w:r>
      <w:r w:rsidRPr="00781948">
        <w:rPr>
          <w:sz w:val="22"/>
          <w:szCs w:val="22"/>
          <w:lang w:val="id-ID"/>
        </w:rPr>
        <w:t xml:space="preserve"> sp.), and </w:t>
      </w:r>
      <w:r w:rsidRPr="00781948">
        <w:rPr>
          <w:i/>
          <w:iCs/>
          <w:sz w:val="22"/>
          <w:szCs w:val="22"/>
          <w:lang w:val="id-ID"/>
        </w:rPr>
        <w:t>Xylariaceae</w:t>
      </w:r>
      <w:r w:rsidRPr="00781948">
        <w:rPr>
          <w:sz w:val="22"/>
          <w:szCs w:val="22"/>
          <w:lang w:val="id-ID"/>
        </w:rPr>
        <w:t xml:space="preserve"> (</w:t>
      </w:r>
      <w:r w:rsidRPr="00781948">
        <w:rPr>
          <w:i/>
          <w:iCs/>
          <w:sz w:val="22"/>
          <w:szCs w:val="22"/>
          <w:lang w:val="id-ID"/>
        </w:rPr>
        <w:t>Xylaria</w:t>
      </w:r>
      <w:r w:rsidRPr="00781948">
        <w:rPr>
          <w:sz w:val="22"/>
          <w:szCs w:val="22"/>
          <w:lang w:val="id-ID"/>
        </w:rPr>
        <w:t xml:space="preserve"> sp.). All macrofungi were found growing on wood or decaying logs. This study aligns with previous research by Rahayu et al. (2020), which highlighted the prevalence of wood-inhabiting fungi in coastal forest ecosystems. TWA Gunung Tunak qualifies as a coastal forest since it is bordered with the Indian Ocean in Central Lombok. </w:t>
      </w:r>
    </w:p>
    <w:p w14:paraId="3F7EA041" w14:textId="1D4B0032" w:rsidR="00C666AF" w:rsidRDefault="00000000" w:rsidP="00DB0452">
      <w:pPr>
        <w:widowControl w:val="0"/>
        <w:ind w:firstLine="540"/>
        <w:jc w:val="both"/>
        <w:rPr>
          <w:sz w:val="22"/>
          <w:szCs w:val="22"/>
          <w:lang w:val="id-ID"/>
        </w:rPr>
      </w:pPr>
      <w:r w:rsidRPr="00781948">
        <w:rPr>
          <w:sz w:val="22"/>
          <w:szCs w:val="22"/>
          <w:lang w:val="id-ID"/>
        </w:rPr>
        <w:t xml:space="preserve">The diversity of the macrofungi serve as an important indicator of ecosystem quality </w:t>
      </w:r>
      <w:r w:rsidRPr="00781948">
        <w:rPr>
          <w:sz w:val="22"/>
          <w:szCs w:val="22"/>
          <w:lang w:val="id-ID"/>
        </w:rPr>
        <w:fldChar w:fldCharType="begin"/>
      </w:r>
      <w:r w:rsidR="00B51C4F" w:rsidRPr="00781948">
        <w:rPr>
          <w:sz w:val="22"/>
          <w:szCs w:val="22"/>
          <w:lang w:val="id-ID"/>
        </w:rPr>
        <w:instrText xml:space="preserve"> ADDIN ZOTERO_ITEM CSL_CITATION {"citationID":"BjS40wjI","properties":{"formattedCitation":"(Yusran dkk., 2020)","plainCitation":"(Yusran dkk., 2020)","dontUpdate":true,"noteIndex":0},"citationItems":[{"id":"n67l8Wxv/3hAVYzyf","uris":["http://zotero.org/users/local/aclxgGd8/items/DX2B9Y2W"],"itemData":{"id":28,"type":"article-journal","abstract":"Abstract. Yusran Y, Erniwati E, Wahyuni D, Ramadhanil R, Khumaidi A. 2021. Diversity of macro fungus across three altitudinal ranges in Lore Lindu National Park, Central Sulawesi, Indonesia and their utilization by local residents. Biodiversitas 22: 199-210. A large amount of biodiversity research has been carried out in Lore Lindu National Park, a major biodiversity center in Central Sulawesi, Indonesia, but none have investigated the biodiversity of macrofungi and their traditional utilization. Therefore, this study aimed to explore the diversity of macro fungus in Lore Lindu National Park, and to identify their potential uses as food sources and medicinal uses by the local residents living around Lore Lindu National Park. Exploration of macrofungus species in Lore Lindu National Park was done at three locations representing three altitudinal ranges: (i) &lt;500 m above sea level (asl); (ii) 500–1500 m asl; and &gt;1500 m asl. Ten plots were placed in two major lines with a 100 m distance between plots in each sampling location. All macrofungi within the observation plots were then documented and identified. Ethnomycological studies were done by asking questionnaire to selective respondents, group discussion, and pictorial presentation studies to random respondents in five villages located in the buffer zone of the national park area. This study found 172 species (including unidentified species/sp.) from 33 families of macro fungus in Lore Lindu National Park in which 159 of them belong to the Basidiomycota division, while 13 of them were of the Ascomycota division. Our results also showed varying diversity of macrofungus at different altitudes. At the elevation of &lt;500 m asl, as many 77 species were found, while 117 and 142 species were found at the elevation of 500-1500 and &gt;1500 m asl, respectively. Marasmius spp and Hygrocybe spp were the most abundant genera, and nine species (i.e. Schizophyllum commune, Termytomyces sp, Auricularia auricular-judge, Auricularia sp., Pleurotus ostreatus, Ganoderma lucidum, Xylaria sp., Agaricus sp. dan Lentinus sajor-caju) were utilized as a food source and in traditional medicine by the residents around the national park area.","container-title":"Biodiversitas Journal of Biological Diversity","DOI":"10.13057/biodiv/d220126","ISSN":"2085-4722, 1412-033X","issue":"1","journalAbbreviation":"Biodiversitas","note":"number: 1","source":"DOI.org (Crossref)","title":"Diversity of macro fungus across three altitudinal ranges in Lore Lindu National Park, Central Sulawesi, Indonesia and their utilization by local residents","URL":"https://smujo.id/biodiv/article/view/6899","volume":"22","author":[{"family":"Yusran","given":"Yusran"},{"family":"Erniwati","given":"Erniwati"},{"family":"Wahyuni","given":"Dewi"},{"family":"Ramadhanil","given":"Ramadhanil"},{"family":"Khumaidi","given":"Akhmad"}],"accessed":{"date-parts":[["2024",4,17]]},"issued":{"date-parts":[["2020",12,24]]}}}],"schema":"https://github.com/citation-style-language/schema/raw/master/csl-citation.json"} </w:instrText>
      </w:r>
      <w:r w:rsidRPr="00781948">
        <w:rPr>
          <w:sz w:val="22"/>
          <w:szCs w:val="22"/>
          <w:lang w:val="id-ID"/>
        </w:rPr>
        <w:fldChar w:fldCharType="separate"/>
      </w:r>
      <w:r w:rsidRPr="00781948">
        <w:rPr>
          <w:sz w:val="22"/>
          <w:szCs w:val="22"/>
          <w:lang w:val="id-ID"/>
        </w:rPr>
        <w:t>(Yusran et al., 2020)</w:t>
      </w:r>
      <w:r w:rsidRPr="00781948">
        <w:rPr>
          <w:sz w:val="22"/>
          <w:szCs w:val="22"/>
          <w:lang w:val="id-ID"/>
        </w:rPr>
        <w:fldChar w:fldCharType="end"/>
      </w:r>
      <w:r w:rsidRPr="00781948">
        <w:rPr>
          <w:sz w:val="22"/>
          <w:szCs w:val="22"/>
          <w:lang w:val="id-ID"/>
        </w:rPr>
        <w:t xml:space="preserve">. The variety of macrofungal species present is closely linked to the dominant tree species that comprise the forest vegetation </w:t>
      </w:r>
      <w:r w:rsidRPr="00781948">
        <w:rPr>
          <w:sz w:val="22"/>
          <w:szCs w:val="22"/>
          <w:lang w:val="id-ID"/>
        </w:rPr>
        <w:fldChar w:fldCharType="begin"/>
      </w:r>
      <w:r w:rsidR="00B51C4F" w:rsidRPr="00781948">
        <w:rPr>
          <w:sz w:val="22"/>
          <w:szCs w:val="22"/>
          <w:lang w:val="id-ID"/>
        </w:rPr>
        <w:instrText xml:space="preserve"> ADDIN ZOTERO_ITEM CSL_CITATION {"citationID":"vA35mIy5","properties":{"unsorted":true,"formattedCitation":"(Kutszegi dkk., 2021; Collado dkk., 2021)","plainCitation":"(Kutszegi dkk., 2021; Collado dkk., 2021)","dontUpdate":true,"noteIndex":0},"citationItems":[{"id":"n67l8Wxv/vlVOpkkB","uris":["http://zotero.org/users/local/aclxgGd8/items/JDZTAYAK"],"itemData":{"id":160,"type":"article-journal","abstract":"Abstract\n            We explored the most influential stand-scaled drivers of ectomycorrhizal, terricolous saprotrophic, and wood-inhabiting (main functional groups) macrofungal species richness in mixed forests by applying regression models. We tested 67 potential explanatory variables representing tree species composition, stand structure, soil and litter conditions, microclimate, landscape structure, and management history. Within the main functional groups, we formed and modeled guilds and used their drivers to more objectively interpret the drivers of the main functional groups. Terricolous saprotrophic fungi were supported by air humidity and litter mass. Ectomycorrhizal fungi were suppressed by high soil nitrogen content and high air temperature. Wood saprotrophs were enhanced by litter pH (deciduous habitats), deadwood cover, and beech proportion. Wood saprotrophic guilds were determined often by drivers with hidden effects on all wood saprotrophs: non-parasites: total deadwood cover; parasites: beech proportion; white rotters: litter pH; brown rotters: air temperature (negatively); endophytes: beech proportion; early ruderals: deciduous stands that were formerly meadows; combative invaders: deciduous tree taxa; heart rotters: coarse woody debris; late stage specialists: deciduous deadwood. Terricolous saprotrophic cord formers positively responded to litter mass. Studying the drivers of guilds simultaneously, beech was a keystone species to maintain fungal diversity in the region, and coniferous stands would be more diverse by introducing deciduous tree species. Guilds were determined by drivers different from each other underlining their different functional roles and segregated substrate preferences. Modeling guilds of fungal species with concordant response to the environment would be powerful to explore and understand the functioning of fungal communities.","container-title":"Community Ecology","DOI":"10.1007/s42974-020-00031-6","ISSN":"1585-8553, 1588-2756","issue":"1","journalAbbreviation":"COMMUNITY ECOLOGY","language":"en","page":"13-28","source":"DOI.org (Crossref)","title":"Revealing hidden drivers of macrofungal species richness by analyzing fungal guilds in temperate forests, West Hungary","volume":"22","author":[{"family":"Kutszegi","given":"Gergely"},{"family":"Siller","given":"Irén"},{"family":"Dima","given":"Bálint"},{"family":"Merényi","given":"Zsolt"},{"family":"Varga","given":"Torda"},{"family":"Takács","given":"Katalin"},{"family":"Turcsányi","given":"Gábor"},{"family":"Bidló","given":"András"},{"family":"Ódor","given":"Péter"}],"issued":{"date-parts":[["2021",4]]}}},{"id":"n67l8Wxv/xwqqZ3em","uris":["http://zotero.org/users/local/aclxgGd8/items/N9ZKWBYD"],"itemData":{"id":162,"type":"article-journal","container-title":"Ecological Indicators","DOI":"10.1016/j.ecolind.2021.108340","ISSN":"1470160X","journalAbbreviation":"Ecological Indicators","language":"en","page":"108340","source":"DOI.org (Crossref)","title":"Impact of forest thinning on aboveground macrofungal community composition and diversity in Mediterranean pine stands","volume":"133","author":[{"family":"Collado","given":"E."},{"family":"Bonet","given":"J.A."},{"family":"Alday","given":"J.G."},{"family":"Martínez De Aragón","given":"J."},{"family":"Miguel","given":"S.","non-dropping-particle":"de-"}],"issued":{"date-parts":[["2021",12]]}}}],"schema":"https://github.com/citation-style-language/schema/raw/master/csl-citation.json"} </w:instrText>
      </w:r>
      <w:r w:rsidRPr="00781948">
        <w:rPr>
          <w:sz w:val="22"/>
          <w:szCs w:val="22"/>
          <w:lang w:val="id-ID"/>
        </w:rPr>
        <w:fldChar w:fldCharType="separate"/>
      </w:r>
      <w:r w:rsidRPr="00781948">
        <w:rPr>
          <w:sz w:val="22"/>
          <w:szCs w:val="22"/>
          <w:lang w:val="id-ID"/>
        </w:rPr>
        <w:t>(Kutszegi et al., 2021; Collado et al., 2021)</w:t>
      </w:r>
      <w:r w:rsidRPr="00781948">
        <w:rPr>
          <w:sz w:val="22"/>
          <w:szCs w:val="22"/>
          <w:lang w:val="id-ID"/>
        </w:rPr>
        <w:fldChar w:fldCharType="end"/>
      </w:r>
      <w:r w:rsidRPr="00781948">
        <w:rPr>
          <w:sz w:val="22"/>
          <w:szCs w:val="22"/>
          <w:lang w:val="id-ID"/>
        </w:rPr>
        <w:t xml:space="preserve">. Additionally, the diversity and distribution of the macrofungal community are influenced by microclimatic conditions, including temperature, humidity, light, decomposed organic matter, and soil characteristics </w:t>
      </w:r>
      <w:r w:rsidRPr="00781948">
        <w:rPr>
          <w:sz w:val="22"/>
          <w:szCs w:val="22"/>
          <w:lang w:val="id-ID"/>
        </w:rPr>
        <w:fldChar w:fldCharType="begin"/>
      </w:r>
      <w:r w:rsidR="00B51C4F" w:rsidRPr="00781948">
        <w:rPr>
          <w:sz w:val="22"/>
          <w:szCs w:val="22"/>
          <w:lang w:val="id-ID"/>
        </w:rPr>
        <w:instrText xml:space="preserve"> ADDIN ZOTERO_ITEM CSL_CITATION {"citationID":"LPwoD4bF","properties":{"unsorted":true,"formattedCitation":"(Alem dkk., 2021; Santos-Silva dkk., 2011; Conn &amp; Dighton, 2000)","plainCitation":"(Alem dkk., 2021; Santos-Silva dkk., 2011; Conn &amp; Dighton, 2000)","dontUpdate":true,"noteIndex":0},"citationItems":[{"id":"n67l8Wxv/fgMLDhAJ","uris":["http://zotero.org/users/local/aclxgGd8/items/RTPBA2U4"],"itemData":{"id":164,"type":"article-journal","container-title":"Forest Ecology and Management","DOI":"10.1016/j.foreco.2021.119391","ISSN":"03781127","journalAbbreviation":"Forest Ecology and Management","language":"en","page":"119391","source":"DOI.org (Crossref)","title":"Survey of macrofungal diversity and analysis of edaphic factors influencing the fungal community of church forests in Dry Afromontane areas of Northern Ethiopia","volume":"496","author":[{"family":"Alem","given":"Demelash"},{"family":"Dejene","given":"Tatek"},{"family":"Oria-de-Rueda","given":"Juan Andrés"},{"family":"Martín-Pinto","given":"Pablo"}],"issued":{"date-parts":[["2021",9]]}}},{"id":"n67l8Wxv/CGITndRK","uris":["http://zotero.org/users/local/aclxgGd8/items/7TXTEUAH"],"itemData":{"id":163,"type":"article-journal","container-title":"Agroforestry Systems","DOI":"10.1007/s10457-011-9374-7","ISSN":"0167-4366, 1572-9680","issue":"2","journalAbbreviation":"Agroforest Syst","language":"en","license":"http://www.springer.com/tdm","page":"149-159","source":"DOI.org (Crossref)","title":"Canopy cover influence on macrofungal richness and sporocarp production in montado ecosystems","volume":"82","author":[{"family":"Santos-Silva","given":"C."},{"family":"Gonçalves","given":"A."},{"family":"Louro","given":"R."}],"issued":{"date-parts":[["2011",6]]}}},{"id":"n67l8Wxv/u9uEAUYw","uris":["http://zotero.org/users/local/aclxgGd8/items/KZE3FQZN"],"itemData":{"id":165,"type":"article-journal","container-title":"Soil Biology and Biochemistry","DOI":"10.1016/S0038-0717(99)00178-9","ISSN":"00380717","issue":"4","journalAbbreviation":"Soil Biology and Biochemistry","language":"en","license":"https://www.elsevier.com/tdm/userlicense/1.0/","page":"489-496","source":"DOI.org (Crossref)","title":"Litter quality influences on decomposition, ectomycorrhizal community structure and mycorrhizal root surface acid phosphatase activity","volume":"32","author":[{"family":"Conn","given":"Christine"},{"family":"Dighton","given":"John"}],"issued":{"date-parts":[["2000",4]]}}}],"schema":"https://github.com/citation-style-language/schema/raw/master/csl-citation.json"} </w:instrText>
      </w:r>
      <w:r w:rsidRPr="00781948">
        <w:rPr>
          <w:sz w:val="22"/>
          <w:szCs w:val="22"/>
          <w:lang w:val="id-ID"/>
        </w:rPr>
        <w:fldChar w:fldCharType="separate"/>
      </w:r>
      <w:r w:rsidRPr="00781948">
        <w:rPr>
          <w:sz w:val="22"/>
          <w:szCs w:val="22"/>
          <w:lang w:val="id-ID"/>
        </w:rPr>
        <w:t>(Alem et al., 2021; Santos-Silva et al., 2011; Conn &amp; Dighton, 2000)</w:t>
      </w:r>
      <w:r w:rsidRPr="00781948">
        <w:rPr>
          <w:sz w:val="22"/>
          <w:szCs w:val="22"/>
          <w:lang w:val="id-ID"/>
        </w:rPr>
        <w:fldChar w:fldCharType="end"/>
      </w:r>
      <w:r w:rsidRPr="00781948">
        <w:rPr>
          <w:sz w:val="22"/>
          <w:szCs w:val="22"/>
          <w:lang w:val="id-ID"/>
        </w:rPr>
        <w:t>.</w:t>
      </w:r>
    </w:p>
    <w:p w14:paraId="51B95503" w14:textId="77777777" w:rsidR="00DB0452" w:rsidRDefault="00DB0452" w:rsidP="00DB0452">
      <w:pPr>
        <w:widowControl w:val="0"/>
        <w:jc w:val="both"/>
        <w:rPr>
          <w:sz w:val="22"/>
          <w:szCs w:val="22"/>
          <w:lang w:val="id-ID"/>
        </w:rPr>
      </w:pPr>
    </w:p>
    <w:p w14:paraId="024FB6D6" w14:textId="77777777" w:rsidR="00DB0452" w:rsidRDefault="00DB0452" w:rsidP="00DB0452">
      <w:pPr>
        <w:jc w:val="center"/>
        <w:rPr>
          <w:sz w:val="20"/>
          <w:szCs w:val="20"/>
          <w:lang w:val="id-ID"/>
        </w:rPr>
      </w:pPr>
      <w:r w:rsidRPr="00DB0452">
        <w:rPr>
          <w:b/>
          <w:bCs/>
          <w:sz w:val="20"/>
          <w:szCs w:val="20"/>
          <w:lang w:val="id-ID"/>
        </w:rPr>
        <w:t>Table 2.</w:t>
      </w:r>
      <w:r w:rsidRPr="00DB0452">
        <w:rPr>
          <w:sz w:val="20"/>
          <w:szCs w:val="20"/>
          <w:lang w:val="id-ID"/>
        </w:rPr>
        <w:t xml:space="preserve"> The results of the Shannon-Wiener Diversity </w:t>
      </w:r>
      <w:r>
        <w:rPr>
          <w:sz w:val="20"/>
          <w:szCs w:val="20"/>
          <w:lang w:val="id-ID"/>
        </w:rPr>
        <w:t>Indeks</w:t>
      </w:r>
    </w:p>
    <w:p w14:paraId="4725E23E" w14:textId="77777777" w:rsidR="00DB0452" w:rsidRPr="00DB0452" w:rsidRDefault="00DB0452" w:rsidP="00DB0452">
      <w:pPr>
        <w:jc w:val="center"/>
        <w:rPr>
          <w:sz w:val="10"/>
          <w:szCs w:val="10"/>
          <w:lang w:val="id-ID"/>
        </w:rPr>
      </w:pPr>
    </w:p>
    <w:tbl>
      <w:tblPr>
        <w:tblStyle w:val="TableGrid"/>
        <w:tblW w:w="377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0"/>
        <w:gridCol w:w="1521"/>
        <w:gridCol w:w="1350"/>
      </w:tblGrid>
      <w:tr w:rsidR="00DB0452" w:rsidRPr="00DB0452" w14:paraId="1FF4640E" w14:textId="77777777" w:rsidTr="00E47FCE">
        <w:trPr>
          <w:jc w:val="center"/>
        </w:trPr>
        <w:tc>
          <w:tcPr>
            <w:tcW w:w="900" w:type="dxa"/>
            <w:tcBorders>
              <w:top w:val="single" w:sz="4" w:space="0" w:color="auto"/>
              <w:bottom w:val="single" w:sz="4" w:space="0" w:color="auto"/>
            </w:tcBorders>
          </w:tcPr>
          <w:p w14:paraId="13654EB4" w14:textId="77777777" w:rsidR="00DB0452" w:rsidRPr="00DB0452" w:rsidRDefault="00DB0452" w:rsidP="00E47FCE">
            <w:pPr>
              <w:rPr>
                <w:b/>
                <w:bCs/>
                <w:sz w:val="20"/>
                <w:szCs w:val="20"/>
                <w:lang w:val="id-ID"/>
              </w:rPr>
            </w:pPr>
            <w:r w:rsidRPr="00DB0452">
              <w:rPr>
                <w:b/>
                <w:bCs/>
                <w:sz w:val="20"/>
                <w:szCs w:val="20"/>
                <w:lang w:val="id-ID"/>
              </w:rPr>
              <w:t>Trail</w:t>
            </w:r>
          </w:p>
        </w:tc>
        <w:tc>
          <w:tcPr>
            <w:tcW w:w="1521" w:type="dxa"/>
            <w:tcBorders>
              <w:top w:val="single" w:sz="4" w:space="0" w:color="auto"/>
              <w:bottom w:val="single" w:sz="4" w:space="0" w:color="auto"/>
            </w:tcBorders>
          </w:tcPr>
          <w:p w14:paraId="30890245" w14:textId="77777777" w:rsidR="00DB0452" w:rsidRPr="00DB0452" w:rsidRDefault="00DB0452" w:rsidP="00E47FCE">
            <w:pPr>
              <w:rPr>
                <w:b/>
                <w:bCs/>
                <w:sz w:val="20"/>
                <w:szCs w:val="20"/>
                <w:lang w:val="id-ID"/>
              </w:rPr>
            </w:pPr>
            <w:r w:rsidRPr="00DB0452">
              <w:rPr>
                <w:b/>
                <w:bCs/>
                <w:sz w:val="20"/>
                <w:szCs w:val="20"/>
                <w:lang w:val="id-ID"/>
              </w:rPr>
              <w:t>Index Value</w:t>
            </w:r>
          </w:p>
        </w:tc>
        <w:tc>
          <w:tcPr>
            <w:tcW w:w="1350" w:type="dxa"/>
            <w:tcBorders>
              <w:top w:val="single" w:sz="4" w:space="0" w:color="auto"/>
              <w:bottom w:val="single" w:sz="4" w:space="0" w:color="auto"/>
            </w:tcBorders>
          </w:tcPr>
          <w:p w14:paraId="1328D15C" w14:textId="77777777" w:rsidR="00DB0452" w:rsidRPr="00DB0452" w:rsidRDefault="00DB0452" w:rsidP="00E47FCE">
            <w:pPr>
              <w:rPr>
                <w:b/>
                <w:bCs/>
                <w:sz w:val="20"/>
                <w:szCs w:val="20"/>
                <w:lang w:val="id-ID"/>
              </w:rPr>
            </w:pPr>
            <w:r w:rsidRPr="00DB0452">
              <w:rPr>
                <w:b/>
                <w:bCs/>
                <w:sz w:val="20"/>
                <w:szCs w:val="20"/>
                <w:lang w:val="id-ID"/>
              </w:rPr>
              <w:t>Category</w:t>
            </w:r>
          </w:p>
        </w:tc>
      </w:tr>
      <w:tr w:rsidR="00DB0452" w:rsidRPr="00DB0452" w14:paraId="483B8E8F" w14:textId="77777777" w:rsidTr="00E47FCE">
        <w:trPr>
          <w:jc w:val="center"/>
        </w:trPr>
        <w:tc>
          <w:tcPr>
            <w:tcW w:w="900" w:type="dxa"/>
          </w:tcPr>
          <w:p w14:paraId="7DAF384F" w14:textId="77777777" w:rsidR="00DB0452" w:rsidRPr="00DB0452" w:rsidRDefault="00DB0452" w:rsidP="00E47FCE">
            <w:pPr>
              <w:rPr>
                <w:sz w:val="20"/>
                <w:szCs w:val="20"/>
                <w:lang w:val="id-ID"/>
              </w:rPr>
            </w:pPr>
            <w:r w:rsidRPr="00DB0452">
              <w:rPr>
                <w:sz w:val="20"/>
                <w:szCs w:val="20"/>
                <w:lang w:val="id-ID"/>
              </w:rPr>
              <w:t>Trail 1</w:t>
            </w:r>
          </w:p>
        </w:tc>
        <w:tc>
          <w:tcPr>
            <w:tcW w:w="1521" w:type="dxa"/>
          </w:tcPr>
          <w:p w14:paraId="46103CFD" w14:textId="77777777" w:rsidR="00DB0452" w:rsidRPr="00DB0452" w:rsidRDefault="00DB0452" w:rsidP="00E47FCE">
            <w:pPr>
              <w:rPr>
                <w:sz w:val="20"/>
                <w:szCs w:val="20"/>
                <w:lang w:val="id-ID"/>
              </w:rPr>
            </w:pPr>
            <w:r w:rsidRPr="00DB0452">
              <w:rPr>
                <w:sz w:val="20"/>
                <w:szCs w:val="20"/>
                <w:lang w:val="id-ID"/>
              </w:rPr>
              <w:t>1,976</w:t>
            </w:r>
          </w:p>
        </w:tc>
        <w:tc>
          <w:tcPr>
            <w:tcW w:w="1350" w:type="dxa"/>
          </w:tcPr>
          <w:p w14:paraId="78008D59" w14:textId="77777777" w:rsidR="00DB0452" w:rsidRPr="00DB0452" w:rsidRDefault="00DB0452" w:rsidP="00E47FCE">
            <w:pPr>
              <w:rPr>
                <w:sz w:val="20"/>
                <w:szCs w:val="20"/>
                <w:lang w:val="id-ID"/>
              </w:rPr>
            </w:pPr>
            <w:r w:rsidRPr="00DB0452">
              <w:rPr>
                <w:sz w:val="20"/>
                <w:szCs w:val="20"/>
                <w:lang w:val="id-ID"/>
              </w:rPr>
              <w:t>Moderate</w:t>
            </w:r>
          </w:p>
        </w:tc>
      </w:tr>
      <w:tr w:rsidR="00DB0452" w:rsidRPr="00DB0452" w14:paraId="4DC24D27" w14:textId="77777777" w:rsidTr="00E47FCE">
        <w:trPr>
          <w:jc w:val="center"/>
        </w:trPr>
        <w:tc>
          <w:tcPr>
            <w:tcW w:w="900" w:type="dxa"/>
          </w:tcPr>
          <w:p w14:paraId="2FD8EE46" w14:textId="77777777" w:rsidR="00DB0452" w:rsidRPr="00DB0452" w:rsidRDefault="00DB0452" w:rsidP="00E47FCE">
            <w:pPr>
              <w:rPr>
                <w:sz w:val="20"/>
                <w:szCs w:val="20"/>
                <w:lang w:val="id-ID"/>
              </w:rPr>
            </w:pPr>
            <w:r w:rsidRPr="00DB0452">
              <w:rPr>
                <w:sz w:val="20"/>
                <w:szCs w:val="20"/>
                <w:lang w:val="id-ID"/>
              </w:rPr>
              <w:t>Trail 2</w:t>
            </w:r>
          </w:p>
        </w:tc>
        <w:tc>
          <w:tcPr>
            <w:tcW w:w="1521" w:type="dxa"/>
          </w:tcPr>
          <w:p w14:paraId="3039C39B" w14:textId="77777777" w:rsidR="00DB0452" w:rsidRPr="00DB0452" w:rsidRDefault="00DB0452" w:rsidP="00E47FCE">
            <w:pPr>
              <w:rPr>
                <w:sz w:val="20"/>
                <w:szCs w:val="20"/>
                <w:lang w:val="id-ID"/>
              </w:rPr>
            </w:pPr>
            <w:r w:rsidRPr="00DB0452">
              <w:rPr>
                <w:sz w:val="20"/>
                <w:szCs w:val="20"/>
                <w:lang w:val="id-ID"/>
              </w:rPr>
              <w:t>2,003</w:t>
            </w:r>
          </w:p>
        </w:tc>
        <w:tc>
          <w:tcPr>
            <w:tcW w:w="1350" w:type="dxa"/>
          </w:tcPr>
          <w:p w14:paraId="3311D26C" w14:textId="77777777" w:rsidR="00DB0452" w:rsidRPr="00DB0452" w:rsidRDefault="00DB0452" w:rsidP="00E47FCE">
            <w:pPr>
              <w:rPr>
                <w:sz w:val="20"/>
                <w:szCs w:val="20"/>
                <w:lang w:val="id-ID"/>
              </w:rPr>
            </w:pPr>
            <w:r w:rsidRPr="00DB0452">
              <w:rPr>
                <w:sz w:val="20"/>
                <w:szCs w:val="20"/>
                <w:lang w:val="id-ID"/>
              </w:rPr>
              <w:t>Moderate</w:t>
            </w:r>
          </w:p>
        </w:tc>
      </w:tr>
      <w:tr w:rsidR="00DB0452" w:rsidRPr="00DB0452" w14:paraId="73A4500E" w14:textId="77777777" w:rsidTr="00E47FCE">
        <w:trPr>
          <w:jc w:val="center"/>
        </w:trPr>
        <w:tc>
          <w:tcPr>
            <w:tcW w:w="900" w:type="dxa"/>
            <w:tcBorders>
              <w:bottom w:val="single" w:sz="4" w:space="0" w:color="auto"/>
            </w:tcBorders>
          </w:tcPr>
          <w:p w14:paraId="3216BBCB" w14:textId="77777777" w:rsidR="00DB0452" w:rsidRPr="00DB0452" w:rsidRDefault="00DB0452" w:rsidP="00E47FCE">
            <w:pPr>
              <w:rPr>
                <w:sz w:val="20"/>
                <w:szCs w:val="20"/>
                <w:lang w:val="id-ID"/>
              </w:rPr>
            </w:pPr>
            <w:r w:rsidRPr="00DB0452">
              <w:rPr>
                <w:sz w:val="20"/>
                <w:szCs w:val="20"/>
                <w:lang w:val="id-ID"/>
              </w:rPr>
              <w:t>Trail 3</w:t>
            </w:r>
          </w:p>
        </w:tc>
        <w:tc>
          <w:tcPr>
            <w:tcW w:w="1521" w:type="dxa"/>
            <w:tcBorders>
              <w:bottom w:val="single" w:sz="4" w:space="0" w:color="auto"/>
            </w:tcBorders>
          </w:tcPr>
          <w:p w14:paraId="2D2F206E" w14:textId="77777777" w:rsidR="00DB0452" w:rsidRPr="00DB0452" w:rsidRDefault="00DB0452" w:rsidP="00E47FCE">
            <w:pPr>
              <w:rPr>
                <w:sz w:val="20"/>
                <w:szCs w:val="20"/>
                <w:lang w:val="id-ID"/>
              </w:rPr>
            </w:pPr>
            <w:r w:rsidRPr="00DB0452">
              <w:rPr>
                <w:sz w:val="20"/>
                <w:szCs w:val="20"/>
                <w:lang w:val="id-ID"/>
              </w:rPr>
              <w:t>1,290</w:t>
            </w:r>
          </w:p>
        </w:tc>
        <w:tc>
          <w:tcPr>
            <w:tcW w:w="1350" w:type="dxa"/>
            <w:tcBorders>
              <w:bottom w:val="single" w:sz="4" w:space="0" w:color="auto"/>
            </w:tcBorders>
          </w:tcPr>
          <w:p w14:paraId="03FBF2F5" w14:textId="77777777" w:rsidR="00DB0452" w:rsidRPr="00DB0452" w:rsidRDefault="00DB0452" w:rsidP="00E47FCE">
            <w:pPr>
              <w:rPr>
                <w:sz w:val="20"/>
                <w:szCs w:val="20"/>
                <w:lang w:val="id-ID"/>
              </w:rPr>
            </w:pPr>
            <w:r w:rsidRPr="00DB0452">
              <w:rPr>
                <w:sz w:val="20"/>
                <w:szCs w:val="20"/>
                <w:lang w:val="id-ID"/>
              </w:rPr>
              <w:t>Moderate</w:t>
            </w:r>
          </w:p>
        </w:tc>
      </w:tr>
    </w:tbl>
    <w:p w14:paraId="0345CEF2" w14:textId="77777777" w:rsidR="00C666AF" w:rsidRPr="00781948" w:rsidRDefault="00C666AF">
      <w:pPr>
        <w:rPr>
          <w:sz w:val="22"/>
          <w:szCs w:val="22"/>
          <w:lang w:val="id-ID"/>
        </w:rPr>
      </w:pPr>
    </w:p>
    <w:p w14:paraId="4E63AA20" w14:textId="43B9F553" w:rsidR="00C666AF" w:rsidRPr="00781948" w:rsidRDefault="00000000" w:rsidP="00DB0452">
      <w:pPr>
        <w:widowControl w:val="0"/>
        <w:ind w:firstLine="540"/>
        <w:jc w:val="both"/>
        <w:rPr>
          <w:sz w:val="22"/>
          <w:szCs w:val="22"/>
          <w:lang w:val="id-ID"/>
        </w:rPr>
      </w:pPr>
      <w:r w:rsidRPr="00781948">
        <w:rPr>
          <w:sz w:val="22"/>
          <w:szCs w:val="22"/>
          <w:lang w:val="id-ID"/>
        </w:rPr>
        <w:t xml:space="preserve">The Shannon Wienner Diversity Index for the macrofungi in TWA Gunung Tunak has a value of indicating a moderate level of biodiversity. This assessment is estimated because sampling was conducted during the dry season, when the environment conditions are not optimal for the macrofungal growth. The diversity of the macrofungi is influenced by suitable habitat conditions, such as optimal substrate and canopy cover, which help maintain moisture levels </w:t>
      </w:r>
      <w:r w:rsidRPr="00781948">
        <w:rPr>
          <w:sz w:val="22"/>
          <w:szCs w:val="22"/>
          <w:lang w:val="id-ID"/>
        </w:rPr>
        <w:fldChar w:fldCharType="begin"/>
      </w:r>
      <w:r w:rsidR="00B51C4F" w:rsidRPr="00781948">
        <w:rPr>
          <w:sz w:val="22"/>
          <w:szCs w:val="22"/>
          <w:lang w:val="id-ID"/>
        </w:rPr>
        <w:instrText xml:space="preserve"> ADDIN ZOTERO_ITEM CSL_CITATION {"citationID":"vmeyMhuB","properties":{"formattedCitation":"(Trudell &amp; Edmonds, 2004)","plainCitation":"(Trudell &amp; Edmonds, 2004)","noteIndex":0},"citationItems":[{"id":"n67l8Wxv/RkOhzlcq","uris":["http://zotero.org/users/local/aclxgGd8/items/R8835FWP"],"itemData":{"id":167,"type":"article-journal","abstract":"We characterized the epigeous macrofungus communities in two old-growth conifer forests by collecting sporocarps. Despite the similarity in dominant tree species in the two forests, the macrofungus communities were very different. At the drier, nitrogen-poor Deer Park area, the macrofungi were dominated by ectomycorrhizal species in the genera Cortinarius, Tricholoma, Hydnellum, Suillus, and Sarcodon. At the wetter, higher nitrogen Hoh Valley, the macrofungi were characterized by ectomycorrhizal species in different genera, such as Inocybe, Russula, Amanita, Boletus, and Phaeocollybia, and saprotrophic fungi accounted for a greater proportion of the community. Species richness was similar at the two areas, but sporocarp production was much higher at Deer Park. We propose that (i) these community differences developed over a long time; (ii) they are largely related to differences in ecosystem moisture and nitrogen abundance; and (iii) within the ectomycorrhizal fungi, possible causal mechanisms involve mycelial morphology and carbon allocation within the symbioses. The apparent response to relatively small but presumably long-term differences in nitrogen abundance suggests that sporocarp production by macrofungi could be an effective bioindicator and should be considered in determination of critical loads for atmospheric nitrogen deposition to temperate and boreal forests.Key words: critical nitrogen loads, ectomycorrhizal fungi, macrofungi, macrofungus communities, nitrogen, old-growth conifer forests.","container-title":"Canadian Journal of Botany","DOI":"10.1139/b04-057","ISSN":"0008-4026","issue":"6","journalAbbreviation":"Can. J. Bot.","language":"en","license":"http://www.nrcresearchpress.com/page/about/CorporateTextAndDataMining","page":"781-800","source":"DOI.org (Crossref)","title":"Macrofungus communities correlate with moisture and nitrogen abundance in two old-growth conifer forests, Olympic National Park, Washington, USA","volume":"82","author":[{"family":"Trudell","given":"Steven A"},{"family":"Edmonds","given":"Robert L"}],"issued":{"date-parts":[["2004",6,1]]}}}],"schema":"https://github.com/citation-style-language/schema/raw/master/csl-citation.json"} </w:instrText>
      </w:r>
      <w:r w:rsidRPr="00781948">
        <w:rPr>
          <w:sz w:val="22"/>
          <w:szCs w:val="22"/>
          <w:lang w:val="id-ID"/>
        </w:rPr>
        <w:fldChar w:fldCharType="separate"/>
      </w:r>
      <w:r w:rsidR="00B51C4F" w:rsidRPr="00781948">
        <w:rPr>
          <w:sz w:val="22"/>
          <w:lang w:val="id-ID"/>
        </w:rPr>
        <w:t>(Trudell &amp; Edmonds, 2004)</w:t>
      </w:r>
      <w:r w:rsidRPr="00781948">
        <w:rPr>
          <w:sz w:val="22"/>
          <w:szCs w:val="22"/>
          <w:lang w:val="id-ID"/>
        </w:rPr>
        <w:fldChar w:fldCharType="end"/>
      </w:r>
      <w:r w:rsidRPr="00781948">
        <w:rPr>
          <w:sz w:val="22"/>
          <w:szCs w:val="22"/>
          <w:lang w:val="id-ID"/>
        </w:rPr>
        <w:t xml:space="preserve">. According to </w:t>
      </w:r>
      <w:r w:rsidRPr="00781948">
        <w:rPr>
          <w:sz w:val="22"/>
          <w:szCs w:val="22"/>
          <w:lang w:val="id-ID"/>
        </w:rPr>
        <w:fldChar w:fldCharType="begin"/>
      </w:r>
      <w:r w:rsidR="00B51C4F" w:rsidRPr="00781948">
        <w:rPr>
          <w:sz w:val="22"/>
          <w:szCs w:val="22"/>
          <w:lang w:val="id-ID"/>
        </w:rPr>
        <w:instrText xml:space="preserve"> ADDIN ZOTERO_ITEM CSL_CITATION {"citationID":"us5eXDJI","properties":{"custom":"Priyamvada et al., (2017)","formattedCitation":"Priyamvada et al., (2017)","plainCitation":"Priyamvada et al., (2017)","noteIndex":0},"citationItems":[{"id":"n67l8Wxv/atMemvB1","uris":["http://zotero.org/users/local/aclxgGd8/items/TBT67WUL"],"itemData":{"id":169,"type":"article-journal","container-title":"PLOS ONE","DOI":"10.1371/journal.pone.0169333","ISSN":"1932-6203","issue":"1","journalAbbreviation":"PLoS ONE","language":"en","page":"e0169333","source":"DOI.org (Crossref)","title":"Terrestrial Macrofungal Diversity from the Tropical Dry Evergreen Biome of Southern India and Its Potential Role in Aerobiology","volume":"12","author":[{"family":"Priyamvada","given":"Hema"},{"family":"Akila","given":"M."},{"family":"Singh","given":"Raj Kamal"},{"family":"Ravikrishna","given":"R."},{"family":"Verma","given":"R. S."},{"family":"Philip","given":"Ligy"},{"family":"Marathe","given":"R. R."},{"family":"Sahu","given":"L. K."},{"family":"Sudheer","given":"K. P."},{"family":"Gunthe","given":"S. S."}],"editor":[{"family":"Borkovich","given":"Katherine A."}],"issued":{"date-parts":[["2017",1,10]]}}}],"schema":"https://github.com/citation-style-language/schema/raw/master/csl-citation.json"} </w:instrText>
      </w:r>
      <w:r w:rsidRPr="00781948">
        <w:rPr>
          <w:sz w:val="22"/>
          <w:szCs w:val="22"/>
          <w:lang w:val="id-ID"/>
        </w:rPr>
        <w:fldChar w:fldCharType="separate"/>
      </w:r>
      <w:r w:rsidR="00B51C4F" w:rsidRPr="00781948">
        <w:rPr>
          <w:sz w:val="22"/>
          <w:lang w:val="id-ID"/>
        </w:rPr>
        <w:t>Priyamvada et al., (2017)</w:t>
      </w:r>
      <w:r w:rsidRPr="00781948">
        <w:rPr>
          <w:sz w:val="22"/>
          <w:szCs w:val="22"/>
          <w:lang w:val="id-ID"/>
        </w:rPr>
        <w:fldChar w:fldCharType="end"/>
      </w:r>
      <w:r w:rsidRPr="00781948">
        <w:rPr>
          <w:sz w:val="22"/>
          <w:szCs w:val="22"/>
          <w:lang w:val="id-ID"/>
        </w:rPr>
        <w:t xml:space="preserve"> and </w:t>
      </w:r>
      <w:r w:rsidRPr="00781948">
        <w:rPr>
          <w:sz w:val="22"/>
          <w:szCs w:val="22"/>
          <w:lang w:val="id-ID"/>
        </w:rPr>
        <w:fldChar w:fldCharType="begin"/>
      </w:r>
      <w:r w:rsidR="00B51C4F" w:rsidRPr="00781948">
        <w:rPr>
          <w:sz w:val="22"/>
          <w:szCs w:val="22"/>
          <w:lang w:val="id-ID"/>
        </w:rPr>
        <w:instrText xml:space="preserve"> ADDIN ZOTERO_ITEM CSL_CITATION {"citationID":"IZvtzu18","properties":{"custom":"Li et al., (2018)","formattedCitation":"Li et al., (2018)","plainCitation":"Li et al., (2018)","noteIndex":0},"citationItems":[{"id":"n67l8Wxv/SA6Kz7vn","uris":["http://zotero.org/users/local/aclxgGd8/items/BBT9Z4DN"],"itemData":{"id":168,"type":"article-journal","container-title":"Acta Oecologica","DOI":"10.1016/j.actao.2018.05.008","ISSN":"1146609X","journalAbbreviation":"Acta Oecologica","language":"en","page":"7-15","source":"DOI.org (Crossref)","title":"Fruiting patterns of macrofungi in tropical and temperate land use types in Yunnan Province, China","volume":"91","author":[{"family":"Li","given":"Huili"},{"family":"Guo","given":"Jiayu"},{"family":"Goldberg","given":"Stefanie D."},{"family":"Sreekar","given":"Rachakonda"},{"family":"Ye","given":"Lei"},{"family":"Luo","given":"Xia"},{"family":"Sysouphanthong","given":"Phongeun"},{"family":"Xu","given":"Jianchu"},{"family":"Hyde","given":"Kevin D."},{"family":"Mortimer","given":"Peter E."}],"issued":{"date-parts":[["2018",8]]}}}],"schema":"https://github.com/citation-style-language/schema/raw/master/csl-citation.json"} </w:instrText>
      </w:r>
      <w:r w:rsidRPr="00781948">
        <w:rPr>
          <w:sz w:val="22"/>
          <w:szCs w:val="22"/>
          <w:lang w:val="id-ID"/>
        </w:rPr>
        <w:fldChar w:fldCharType="separate"/>
      </w:r>
      <w:r w:rsidR="00B51C4F" w:rsidRPr="00781948">
        <w:rPr>
          <w:sz w:val="22"/>
          <w:lang w:val="id-ID"/>
        </w:rPr>
        <w:t>Li et al., (2018)</w:t>
      </w:r>
      <w:r w:rsidRPr="00781948">
        <w:rPr>
          <w:sz w:val="22"/>
          <w:szCs w:val="22"/>
          <w:lang w:val="id-ID"/>
        </w:rPr>
        <w:fldChar w:fldCharType="end"/>
      </w:r>
      <w:r w:rsidRPr="00781948">
        <w:rPr>
          <w:sz w:val="22"/>
          <w:szCs w:val="22"/>
          <w:lang w:val="id-ID"/>
        </w:rPr>
        <w:t xml:space="preserve">, larger numbers of macrofungal species can thrive under optimal environmental conditions regarding season, temperature, and rainfall. The diversity index might reflect even higher values if the study were conducted under ideal environmental condition for the growth of macrofungi, emphasizing the need for survey at various times and seasons throughout the year </w:t>
      </w:r>
      <w:r w:rsidRPr="00781948">
        <w:rPr>
          <w:sz w:val="22"/>
          <w:szCs w:val="22"/>
          <w:lang w:val="id-ID"/>
        </w:rPr>
        <w:fldChar w:fldCharType="begin"/>
      </w:r>
      <w:r w:rsidR="00B51C4F" w:rsidRPr="00781948">
        <w:rPr>
          <w:sz w:val="22"/>
          <w:szCs w:val="22"/>
          <w:lang w:val="id-ID"/>
        </w:rPr>
        <w:instrText xml:space="preserve"> ADDIN ZOTERO_ITEM CSL_CITATION {"citationID":"gWCD8SZw","properties":{"formattedCitation":"(Yusran dkk., 2020)","plainCitation":"(Yusran dkk., 2020)","dontUpdate":true,"noteIndex":0},"citationItems":[{"id":"n67l8Wxv/3hAVYzyf","uris":["http://zotero.org/users/local/aclxgGd8/items/DX2B9Y2W"],"itemData":{"id":28,"type":"article-journal","abstract":"Abstract. Yusran Y, Erniwati E, Wahyuni D, Ramadhanil R, Khumaidi A. 2021. Diversity of macro fungus across three altitudinal ranges in Lore Lindu National Park, Central Sulawesi, Indonesia and their utilization by local residents. Biodiversitas 22: 199-210. A large amount of biodiversity research has been carried out in Lore Lindu National Park, a major biodiversity center in Central Sulawesi, Indonesia, but none have investigated the biodiversity of macrofungi and their traditional utilization. Therefore, this study aimed to explore the diversity of macro fungus in Lore Lindu National Park, and to identify their potential uses as food sources and medicinal uses by the local residents living around Lore Lindu National Park. Exploration of macrofungus species in Lore Lindu National Park was done at three locations representing three altitudinal ranges: (i) &lt;500 m above sea level (asl); (ii) 500–1500 m asl; and &gt;1500 m asl. Ten plots were placed in two major lines with a 100 m distance between plots in each sampling location. All macrofungi within the observation plots were then documented and identified. Ethnomycological studies were done by asking questionnaire to selective respondents, group discussion, and pictorial presentation studies to random respondents in five villages located in the buffer zone of the national park area. This study found 172 species (including unidentified species/sp.) from 33 families of macro fungus in Lore Lindu National Park in which 159 of them belong to the Basidiomycota division, while 13 of them were of the Ascomycota division. Our results also showed varying diversity of macrofungus at different altitudes. At the elevation of &lt;500 m asl, as many 77 species were found, while 117 and 142 species were found at the elevation of 500-1500 and &gt;1500 m asl, respectively. Marasmius spp and Hygrocybe spp were the most abundant genera, and nine species (i.e. Schizophyllum commune, Termytomyces sp, Auricularia auricular-judge, Auricularia sp., Pleurotus ostreatus, Ganoderma lucidum, Xylaria sp., Agaricus sp. dan Lentinus sajor-caju) were utilized as a food source and in traditional medicine by the residents around the national park area.","container-title":"Biodiversitas Journal of Biological Diversity","DOI":"10.13057/biodiv/d220126","ISSN":"2085-4722, 1412-033X","issue":"1","journalAbbreviation":"Biodiversitas","note":"number: 1","source":"DOI.org (Crossref)","title":"Diversity of macro fungus across three altitudinal ranges in Lore Lindu National Park, Central Sulawesi, Indonesia and their utilization by local residents","URL":"https://smujo.id/biodiv/article/view/6899","volume":"22","author":[{"family":"Yusran","given":"Yusran"},{"family":"Erniwati","given":"Erniwati"},{"family":"Wahyuni","given":"Dewi"},{"family":"Ramadhanil","given":"Ramadhanil"},{"family":"Khumaidi","given":"Akhmad"}],"accessed":{"date-parts":[["2024",4,17]]},"issued":{"date-parts":[["2020",12,24]]}}}],"schema":"https://github.com/citation-style-language/schema/raw/master/csl-citation.json"} </w:instrText>
      </w:r>
      <w:r w:rsidRPr="00781948">
        <w:rPr>
          <w:sz w:val="22"/>
          <w:szCs w:val="22"/>
          <w:lang w:val="id-ID"/>
        </w:rPr>
        <w:fldChar w:fldCharType="separate"/>
      </w:r>
      <w:r w:rsidRPr="00781948">
        <w:rPr>
          <w:sz w:val="22"/>
          <w:szCs w:val="22"/>
          <w:lang w:val="id-ID"/>
        </w:rPr>
        <w:t>(Yusran et al., 2020)</w:t>
      </w:r>
      <w:r w:rsidRPr="00781948">
        <w:rPr>
          <w:sz w:val="22"/>
          <w:szCs w:val="22"/>
          <w:lang w:val="id-ID"/>
        </w:rPr>
        <w:fldChar w:fldCharType="end"/>
      </w:r>
      <w:r w:rsidRPr="00781948">
        <w:rPr>
          <w:sz w:val="22"/>
          <w:szCs w:val="22"/>
          <w:lang w:val="id-ID"/>
        </w:rPr>
        <w:t>.</w:t>
      </w:r>
    </w:p>
    <w:p w14:paraId="608262F7" w14:textId="77777777" w:rsidR="00C666AF" w:rsidRDefault="00C666AF">
      <w:pPr>
        <w:jc w:val="both"/>
        <w:rPr>
          <w:b/>
          <w:bCs/>
          <w:sz w:val="22"/>
          <w:szCs w:val="22"/>
          <w:lang w:val="id-ID"/>
        </w:rPr>
      </w:pPr>
    </w:p>
    <w:p w14:paraId="1400125B" w14:textId="77777777" w:rsidR="006D62C7" w:rsidRPr="00781948" w:rsidRDefault="006D62C7">
      <w:pPr>
        <w:jc w:val="both"/>
        <w:rPr>
          <w:b/>
          <w:bCs/>
          <w:sz w:val="22"/>
          <w:szCs w:val="22"/>
          <w:lang w:val="id-ID"/>
        </w:rPr>
      </w:pPr>
    </w:p>
    <w:p w14:paraId="051B99AA" w14:textId="77777777" w:rsidR="00C666AF" w:rsidRPr="00781948" w:rsidRDefault="00000000">
      <w:pPr>
        <w:jc w:val="both"/>
        <w:rPr>
          <w:b/>
          <w:bCs/>
          <w:sz w:val="22"/>
          <w:szCs w:val="22"/>
          <w:lang w:val="id-ID"/>
        </w:rPr>
      </w:pPr>
      <w:r w:rsidRPr="00781948">
        <w:rPr>
          <w:b/>
          <w:bCs/>
          <w:sz w:val="22"/>
          <w:szCs w:val="22"/>
          <w:lang w:val="id-ID"/>
        </w:rPr>
        <w:lastRenderedPageBreak/>
        <w:t>The Macrofungi Potential from TWA Gunung Tunak</w:t>
      </w:r>
    </w:p>
    <w:p w14:paraId="2EC06CC2" w14:textId="18CE2ABF" w:rsidR="00C666AF" w:rsidRPr="00781948" w:rsidRDefault="00000000" w:rsidP="00AF5AE6">
      <w:pPr>
        <w:widowControl w:val="0"/>
        <w:ind w:firstLine="540"/>
        <w:jc w:val="both"/>
        <w:rPr>
          <w:rFonts w:eastAsia="Calibri"/>
          <w:sz w:val="22"/>
          <w:szCs w:val="22"/>
          <w:lang w:val="id-ID"/>
        </w:rPr>
      </w:pPr>
      <w:r w:rsidRPr="00781948">
        <w:rPr>
          <w:sz w:val="22"/>
          <w:szCs w:val="22"/>
          <w:lang w:val="id-ID"/>
        </w:rPr>
        <w:t xml:space="preserve">The study of the macrofungi has revealed that many species have potential use as food and medicine. For instance, </w:t>
      </w:r>
      <w:r w:rsidRPr="00781948">
        <w:rPr>
          <w:i/>
          <w:iCs/>
          <w:sz w:val="22"/>
          <w:szCs w:val="22"/>
          <w:lang w:val="id-ID"/>
        </w:rPr>
        <w:t>Hexagonia</w:t>
      </w:r>
      <w:r w:rsidRPr="00781948">
        <w:rPr>
          <w:sz w:val="22"/>
          <w:szCs w:val="22"/>
          <w:lang w:val="id-ID"/>
        </w:rPr>
        <w:t xml:space="preserve"> species such as </w:t>
      </w:r>
      <w:r w:rsidRPr="00781948">
        <w:rPr>
          <w:i/>
          <w:iCs/>
          <w:sz w:val="22"/>
          <w:szCs w:val="22"/>
          <w:lang w:val="id-ID"/>
        </w:rPr>
        <w:t>H. glabra</w:t>
      </w:r>
      <w:r w:rsidRPr="00781948">
        <w:rPr>
          <w:sz w:val="22"/>
          <w:szCs w:val="22"/>
          <w:lang w:val="id-ID"/>
        </w:rPr>
        <w:t xml:space="preserve"> can be valuable source of anticancer agents </w:t>
      </w:r>
      <w:r w:rsidRPr="00781948">
        <w:rPr>
          <w:sz w:val="22"/>
          <w:szCs w:val="22"/>
          <w:lang w:val="id-ID"/>
        </w:rPr>
        <w:fldChar w:fldCharType="begin"/>
      </w:r>
      <w:r w:rsidR="00B51C4F" w:rsidRPr="00781948">
        <w:rPr>
          <w:sz w:val="22"/>
          <w:szCs w:val="22"/>
          <w:lang w:val="id-ID"/>
        </w:rPr>
        <w:instrText xml:space="preserve"> ADDIN ZOTERO_ITEM CSL_CITATION {"citationID":"R5GWSiUO","properties":{"formattedCitation":"(Ghosh dkk., 2020)","plainCitation":"(Ghosh dkk., 2020)","dontUpdate":true,"noteIndex":0},"citationItems":[{"id":"n67l8Wxv/fl1tzP8I","uris":["http://zotero.org/users/local/aclxgGd8/items/DUQMA77V"],"itemData":{"id":171,"type":"article-journal","container-title":"Asian Pacific Journal of Cancer Prevention","DOI":"10.31557/APJCP.2020.21.7.1977","ISSN":"2476-762X","issue":"7","journalAbbreviation":"Asian Pac J Cancer Prev","language":"en","page":"1977-1986","source":"DOI.org (Crossref)","title":"Anticancer Activity of Solvent Extracts of Hexogonia glabra against Cervical Cancer Cell Lines","volume":"21","author":[{"family":"Ghosh","given":"Swapan Kumar"},{"family":"Sanyal","given":"Tapojyoti"},{"family":"Bera","given":"Tanmay"}],"issued":{"date-parts":[["2020",7,1]]}}}],"schema":"https://github.com/citation-style-language/schema/raw/master/csl-citation.json"} </w:instrText>
      </w:r>
      <w:r w:rsidRPr="00781948">
        <w:rPr>
          <w:sz w:val="22"/>
          <w:szCs w:val="22"/>
          <w:lang w:val="id-ID"/>
        </w:rPr>
        <w:fldChar w:fldCharType="separate"/>
      </w:r>
      <w:r w:rsidRPr="00781948">
        <w:rPr>
          <w:sz w:val="22"/>
          <w:szCs w:val="22"/>
          <w:lang w:val="id-ID"/>
        </w:rPr>
        <w:t>(Ghosh et al., 2020)</w:t>
      </w:r>
      <w:r w:rsidRPr="00781948">
        <w:rPr>
          <w:sz w:val="22"/>
          <w:szCs w:val="22"/>
          <w:lang w:val="id-ID"/>
        </w:rPr>
        <w:fldChar w:fldCharType="end"/>
      </w:r>
      <w:r w:rsidRPr="00781948">
        <w:rPr>
          <w:sz w:val="22"/>
          <w:szCs w:val="22"/>
          <w:lang w:val="id-ID"/>
        </w:rPr>
        <w:t>. A study into traditional medicine within Northeastern Brazilian communities indicates that</w:t>
      </w:r>
      <w:r w:rsidRPr="00781948">
        <w:rPr>
          <w:i/>
          <w:iCs/>
          <w:sz w:val="22"/>
          <w:szCs w:val="22"/>
          <w:lang w:val="id-ID"/>
        </w:rPr>
        <w:t xml:space="preserve"> H. hydnoides</w:t>
      </w:r>
      <w:r w:rsidRPr="00781948">
        <w:rPr>
          <w:sz w:val="22"/>
          <w:szCs w:val="22"/>
          <w:lang w:val="id-ID"/>
        </w:rPr>
        <w:t xml:space="preserve"> is used as a remedy for digestive system, with further analysis demonstrating its antibacterial properties against </w:t>
      </w:r>
      <w:r w:rsidRPr="00781948">
        <w:rPr>
          <w:i/>
          <w:iCs/>
          <w:sz w:val="22"/>
          <w:szCs w:val="22"/>
          <w:lang w:val="id-ID"/>
        </w:rPr>
        <w:t>Bacillus</w:t>
      </w:r>
      <w:r w:rsidRPr="00781948">
        <w:rPr>
          <w:sz w:val="22"/>
          <w:szCs w:val="22"/>
          <w:lang w:val="id-ID"/>
        </w:rPr>
        <w:t xml:space="preserve"> </w:t>
      </w:r>
      <w:r w:rsidRPr="00781948">
        <w:rPr>
          <w:i/>
          <w:iCs/>
          <w:sz w:val="22"/>
          <w:szCs w:val="22"/>
          <w:lang w:val="id-ID"/>
        </w:rPr>
        <w:t>cereus</w:t>
      </w:r>
      <w:r w:rsidRPr="00781948">
        <w:rPr>
          <w:sz w:val="22"/>
          <w:szCs w:val="22"/>
          <w:lang w:val="id-ID"/>
        </w:rPr>
        <w:t xml:space="preserve"> </w:t>
      </w:r>
      <w:r w:rsidRPr="00781948">
        <w:rPr>
          <w:sz w:val="22"/>
          <w:szCs w:val="22"/>
          <w:lang w:val="id-ID"/>
        </w:rPr>
        <w:fldChar w:fldCharType="begin"/>
      </w:r>
      <w:r w:rsidR="00B51C4F" w:rsidRPr="00781948">
        <w:rPr>
          <w:sz w:val="22"/>
          <w:szCs w:val="22"/>
          <w:lang w:val="id-ID"/>
        </w:rPr>
        <w:instrText xml:space="preserve"> ADDIN ZOTERO_ITEM CSL_CITATION {"citationID":"UvxsbFDk","properties":{"formattedCitation":"(Rosa dkk., 2003)","plainCitation":"(Rosa dkk., 2003)","dontUpdate":true,"noteIndex":0},"citationItems":[{"id":"n67l8Wxv/vHmDzp5Y","uris":["http://zotero.org/users/local/aclxgGd8/items/UVS6JMH4"],"itemData":{"id":174,"type":"article-journal","container-title":"Memórias do Instituto Oswaldo Cruz","DOI":"10.1590/S0074-02762003000700019","ISSN":"0074-0276","issue":"7","journalAbbreviation":"Mem. Inst. Oswaldo Cruz","page":"967-974","source":"DOI.org (Crossref)","title":"Screening of Brazilian basidiomycetes for antimicrobial activity","volume":"98","author":[{"family":"Rosa","given":"Luiz Henrique"},{"family":"Machado","given":"Kátia M Gomes"},{"family":"Jacob","given":"Camila Cristina"},{"family":"Capelari","given":"Marina"},{"family":"Rosa","given":"Carlos Augusto"},{"family":"Zani","given":"Carlos Leomar"}],"issued":{"date-parts":[["2003",10]]}}}],"schema":"https://github.com/citation-style-language/schema/raw/master/csl-citation.json"} </w:instrText>
      </w:r>
      <w:r w:rsidRPr="00781948">
        <w:rPr>
          <w:sz w:val="22"/>
          <w:szCs w:val="22"/>
          <w:lang w:val="id-ID"/>
        </w:rPr>
        <w:fldChar w:fldCharType="separate"/>
      </w:r>
      <w:r w:rsidRPr="00781948">
        <w:rPr>
          <w:sz w:val="22"/>
          <w:szCs w:val="22"/>
          <w:lang w:val="id-ID"/>
        </w:rPr>
        <w:t>(Rosa et al., 2003)</w:t>
      </w:r>
      <w:r w:rsidRPr="00781948">
        <w:rPr>
          <w:sz w:val="22"/>
          <w:szCs w:val="22"/>
          <w:lang w:val="id-ID"/>
        </w:rPr>
        <w:fldChar w:fldCharType="end"/>
      </w:r>
      <w:r w:rsidRPr="00781948">
        <w:rPr>
          <w:sz w:val="22"/>
          <w:szCs w:val="22"/>
          <w:lang w:val="id-ID"/>
        </w:rPr>
        <w:t xml:space="preserve">. The genus </w:t>
      </w:r>
      <w:r w:rsidRPr="00781948">
        <w:rPr>
          <w:i/>
          <w:iCs/>
          <w:sz w:val="22"/>
          <w:szCs w:val="22"/>
          <w:lang w:val="id-ID"/>
        </w:rPr>
        <w:t>Trametes</w:t>
      </w:r>
      <w:r w:rsidRPr="00781948">
        <w:rPr>
          <w:sz w:val="22"/>
          <w:szCs w:val="22"/>
          <w:lang w:val="id-ID"/>
        </w:rPr>
        <w:t xml:space="preserve"> is known for its medicinal properties. Notably, </w:t>
      </w:r>
      <w:r w:rsidRPr="00781948">
        <w:rPr>
          <w:i/>
          <w:iCs/>
          <w:sz w:val="22"/>
          <w:szCs w:val="22"/>
          <w:lang w:val="id-ID"/>
        </w:rPr>
        <w:t>T.</w:t>
      </w:r>
      <w:r w:rsidRPr="00781948">
        <w:rPr>
          <w:sz w:val="22"/>
          <w:szCs w:val="22"/>
          <w:lang w:val="id-ID"/>
        </w:rPr>
        <w:t xml:space="preserve"> </w:t>
      </w:r>
      <w:r w:rsidRPr="00781948">
        <w:rPr>
          <w:i/>
          <w:iCs/>
          <w:sz w:val="22"/>
          <w:szCs w:val="22"/>
          <w:lang w:val="id-ID"/>
        </w:rPr>
        <w:t>versicolor</w:t>
      </w:r>
      <w:r w:rsidRPr="00781948">
        <w:rPr>
          <w:sz w:val="22"/>
          <w:szCs w:val="22"/>
          <w:lang w:val="id-ID"/>
        </w:rPr>
        <w:t xml:space="preserve"> has been employed for its anti-inflammatory, antibacterial, antioxidant and anticancer </w:t>
      </w:r>
      <w:r w:rsidRPr="00781948">
        <w:rPr>
          <w:sz w:val="22"/>
          <w:szCs w:val="22"/>
          <w:lang w:val="id-ID"/>
        </w:rPr>
        <w:fldChar w:fldCharType="begin"/>
      </w:r>
      <w:r w:rsidR="00B51C4F" w:rsidRPr="00781948">
        <w:rPr>
          <w:sz w:val="22"/>
          <w:szCs w:val="22"/>
          <w:lang w:val="id-ID"/>
        </w:rPr>
        <w:instrText xml:space="preserve"> ADDIN ZOTERO_ITEM CSL_CITATION {"citationID":"0V2nL9xH","properties":{"unsorted":true,"formattedCitation":"(Lodi dkk., 2025; Ajibola dkk., 2024)","plainCitation":"(Lodi dkk., 2025; Ajibola dkk., 2024)","dontUpdate":true,"noteIndex":0},"citationItems":[{"id":"n67l8Wxv/xEuNYFxa","uris":["http://zotero.org/users/local/aclxgGd8/items/Q4B8CFIE"],"itemData":{"id":177,"type":"article-journal","container-title":"Fungal Biology Reviews","DOI":"10.1016/j.fbr.2025.100413","ISSN":"17494613","journalAbbreviation":"Fungal Biology Reviews","language":"en","page":"100413","source":"DOI.org (Crossref)","title":"Current research on the medical importance of Trametes species","volume":"51","author":[{"family":"Lodi","given":"Rathna Silviya"},{"family":"Dong","given":"Xiaodan"},{"family":"Wang","given":"Xinkun"},{"family":"Han","given":"Yaping"},{"family":"Liang","given":"Xiaohui"},{"family":"Peng","given":"Chune"},{"family":"Peng","given":"Lizeng"}],"issued":{"date-parts":[["2025",3]]}}},{"id":"n67l8Wxv/D0dv50va","uris":["http://zotero.org/users/local/aclxgGd8/items/SS455BIU"],"itemData":{"id":176,"type":"article-journal","container-title":"Current Opinion in Food Science","DOI":"10.1016/j.cofs.2024.101191","ISSN":"22147993","journalAbbreviation":"Current Opinion in Food Science","language":"en","page":"101191","source":"DOI.org (Crossref)","title":"Turkey tail mushroom (Trametes versicolor): an edible macrofungi with immense medicinal properties","title-short":"Turkey tail mushroom (Trametes versicolor)","volume":"58","author":[{"family":"Ajibola","given":"Olaide Olawunmi"},{"family":"Nolasco-Hipolito","given":"Cirilo"},{"family":"Carvajal-Zarrabal","given":"Octavio"},{"family":"Salleh","given":"Shanti F"},{"family":"Adeyinka","given":"Gbadebo C"},{"family":"Adefegha","given":"Stephen A"},{"family":"Ahmmed","given":"Mirja K"},{"family":"Sumaiya","given":"Kazi"},{"family":"Thomas","given":"Raymond"}],"issued":{"date-parts":[["2024",8]]}}}],"schema":"https://github.com/citation-style-language/schema/raw/master/csl-citation.json"} </w:instrText>
      </w:r>
      <w:r w:rsidRPr="00781948">
        <w:rPr>
          <w:sz w:val="22"/>
          <w:szCs w:val="22"/>
          <w:lang w:val="id-ID"/>
        </w:rPr>
        <w:fldChar w:fldCharType="separate"/>
      </w:r>
      <w:r w:rsidRPr="00781948">
        <w:rPr>
          <w:sz w:val="22"/>
          <w:szCs w:val="22"/>
          <w:lang w:val="id-ID"/>
        </w:rPr>
        <w:t>(Lodi et al., 2025; Ajibola et al., 2024)</w:t>
      </w:r>
      <w:r w:rsidRPr="00781948">
        <w:rPr>
          <w:sz w:val="22"/>
          <w:szCs w:val="22"/>
          <w:lang w:val="id-ID"/>
        </w:rPr>
        <w:fldChar w:fldCharType="end"/>
      </w:r>
      <w:r w:rsidRPr="00781948">
        <w:rPr>
          <w:sz w:val="22"/>
          <w:szCs w:val="22"/>
          <w:lang w:val="id-ID"/>
        </w:rPr>
        <w:t xml:space="preserve">. </w:t>
      </w:r>
      <w:r w:rsidRPr="00781948">
        <w:rPr>
          <w:i/>
          <w:iCs/>
          <w:sz w:val="22"/>
          <w:szCs w:val="22"/>
          <w:lang w:val="id-ID"/>
        </w:rPr>
        <w:t>Microporus</w:t>
      </w:r>
      <w:r w:rsidRPr="00781948">
        <w:rPr>
          <w:sz w:val="22"/>
          <w:szCs w:val="22"/>
          <w:lang w:val="id-ID"/>
        </w:rPr>
        <w:t xml:space="preserve"> species contain antimicrobial compound against gram positive bacteria and inhibit the biofilm formation of Staphylococcus aureus </w:t>
      </w:r>
      <w:r w:rsidRPr="00781948">
        <w:rPr>
          <w:sz w:val="22"/>
          <w:szCs w:val="22"/>
          <w:lang w:val="id-ID"/>
        </w:rPr>
        <w:fldChar w:fldCharType="begin"/>
      </w:r>
      <w:r w:rsidR="00B51C4F" w:rsidRPr="00781948">
        <w:rPr>
          <w:sz w:val="22"/>
          <w:szCs w:val="22"/>
          <w:lang w:val="id-ID"/>
        </w:rPr>
        <w:instrText xml:space="preserve"> ADDIN ZOTERO_ITEM CSL_CITATION {"citationID":"RRHglYQ9","properties":{"formattedCitation":"(Chepkirui dkk., 2018)","plainCitation":"(Chepkirui dkk., 2018)","dontUpdate":true,"noteIndex":0},"citationItems":[{"id":"n67l8Wxv/tol78hxC","uris":["http://zotero.org/users/local/aclxgGd8/items/KJS4RF8F"],"itemData":{"id":178,"type":"article-journal","container-title":"Journal of Natural Products","DOI":"10.1021/acs.jnatprod.7b00764","ISSN":"0163-3864, 1520-6025","issue":"4","journalAbbreviation":"J. Nat. Prod.","language":"en","page":"778-784","source":"DOI.org (Crossref)","title":"Microporenic Acids A–G, Biofilm Inhibitors, and Antimicrobial Agents from the Basidiomycete &lt;i&gt;Microporus&lt;/i&gt; Species","volume":"81","author":[{"family":"Chepkirui","given":"Clara"},{"family":"Yuyama","given":"Kamila T."},{"family":"Wanga","given":"Lucy A."},{"family":"Decock","given":"Cony"},{"family":"Matasyoh","given":"Josphat C."},{"family":"Abraham","given":"Wolf-Rainer"},{"family":"Stadler","given":"Marc"}],"issued":{"date-parts":[["2018",4,27]]}}}],"schema":"https://github.com/citation-style-language/schema/raw/master/csl-citation.json"} </w:instrText>
      </w:r>
      <w:r w:rsidRPr="00781948">
        <w:rPr>
          <w:sz w:val="22"/>
          <w:szCs w:val="22"/>
          <w:lang w:val="id-ID"/>
        </w:rPr>
        <w:fldChar w:fldCharType="separate"/>
      </w:r>
      <w:r w:rsidRPr="00781948">
        <w:rPr>
          <w:sz w:val="22"/>
          <w:szCs w:val="22"/>
          <w:lang w:val="id-ID"/>
        </w:rPr>
        <w:t>(Chepkirui et al., 2018)</w:t>
      </w:r>
      <w:r w:rsidRPr="00781948">
        <w:rPr>
          <w:sz w:val="22"/>
          <w:szCs w:val="22"/>
          <w:lang w:val="id-ID"/>
        </w:rPr>
        <w:fldChar w:fldCharType="end"/>
      </w:r>
      <w:r w:rsidRPr="00781948">
        <w:rPr>
          <w:sz w:val="22"/>
          <w:szCs w:val="22"/>
          <w:lang w:val="id-ID"/>
        </w:rPr>
        <w:t xml:space="preserve">. The fruit bodies of </w:t>
      </w:r>
      <w:r w:rsidRPr="00781948">
        <w:rPr>
          <w:i/>
          <w:iCs/>
          <w:sz w:val="22"/>
          <w:szCs w:val="22"/>
          <w:lang w:val="id-ID"/>
        </w:rPr>
        <w:t>Daedaleopsis</w:t>
      </w:r>
      <w:r w:rsidRPr="00781948">
        <w:rPr>
          <w:sz w:val="22"/>
          <w:szCs w:val="22"/>
          <w:lang w:val="id-ID"/>
        </w:rPr>
        <w:t xml:space="preserve"> are utilized in the production of ornamental paper </w:t>
      </w:r>
      <w:r w:rsidRPr="00781948">
        <w:rPr>
          <w:sz w:val="22"/>
          <w:szCs w:val="22"/>
          <w:lang w:val="id-ID"/>
        </w:rPr>
        <w:fldChar w:fldCharType="begin"/>
      </w:r>
      <w:r w:rsidR="00B51C4F" w:rsidRPr="00781948">
        <w:rPr>
          <w:sz w:val="22"/>
          <w:szCs w:val="22"/>
          <w:lang w:val="id-ID"/>
        </w:rPr>
        <w:instrText xml:space="preserve"> ADDIN ZOTERO_ITEM CSL_CITATION {"citationID":"X4NWvslz","properties":{"formattedCitation":"(Roberts &amp; Evans, 2011)","plainCitation":"(Roberts &amp; Evans, 2011)","noteIndex":0},"citationItems":[{"id":"n67l8Wxv/BoZYYrZE","uris":["http://zotero.org/users/local/aclxgGd8/items/3BVMM3EB"],"itemData":{"id":179,"type":"book","call-number":"QK603 .R57 2011","event-place":"Chicago ; London","ISBN":"978-0-226-72117-0","number-of-pages":"655","publisher":"The University of Chicago Press","publisher-place":"Chicago ; London","source":"Library of Congress ISBN","title":"The book of fungi: a life-size guide to six hundred species from around the world","title-short":"The book of fungi","author":[{"family":"Roberts","given":"Peter"},{"family":"Evans","given":"Shelley"}],"issued":{"date-parts":[["2011"]]}}}],"schema":"https://github.com/citation-style-language/schema/raw/master/csl-citation.json"} </w:instrText>
      </w:r>
      <w:r w:rsidRPr="00781948">
        <w:rPr>
          <w:sz w:val="22"/>
          <w:szCs w:val="22"/>
          <w:lang w:val="id-ID"/>
        </w:rPr>
        <w:fldChar w:fldCharType="separate"/>
      </w:r>
      <w:r w:rsidR="00B51C4F" w:rsidRPr="00781948">
        <w:rPr>
          <w:sz w:val="22"/>
          <w:lang w:val="id-ID"/>
        </w:rPr>
        <w:t>(Roberts &amp; Evans, 2011)</w:t>
      </w:r>
      <w:r w:rsidRPr="00781948">
        <w:rPr>
          <w:sz w:val="22"/>
          <w:szCs w:val="22"/>
          <w:lang w:val="id-ID"/>
        </w:rPr>
        <w:fldChar w:fldCharType="end"/>
      </w:r>
      <w:r w:rsidRPr="00781948">
        <w:rPr>
          <w:sz w:val="22"/>
          <w:szCs w:val="22"/>
          <w:lang w:val="id-ID"/>
        </w:rPr>
        <w:t xml:space="preserve">. </w:t>
      </w:r>
      <w:r w:rsidRPr="00781948">
        <w:rPr>
          <w:i/>
          <w:iCs/>
          <w:sz w:val="22"/>
          <w:szCs w:val="22"/>
          <w:lang w:val="id-ID"/>
        </w:rPr>
        <w:t>Irpex</w:t>
      </w:r>
      <w:r w:rsidRPr="00781948">
        <w:rPr>
          <w:sz w:val="22"/>
          <w:szCs w:val="22"/>
          <w:lang w:val="id-ID"/>
        </w:rPr>
        <w:t xml:space="preserve"> </w:t>
      </w:r>
      <w:r w:rsidRPr="00781948">
        <w:rPr>
          <w:i/>
          <w:iCs/>
          <w:sz w:val="22"/>
          <w:szCs w:val="22"/>
          <w:lang w:val="id-ID"/>
        </w:rPr>
        <w:t>lacteus</w:t>
      </w:r>
      <w:r w:rsidRPr="00781948">
        <w:rPr>
          <w:sz w:val="22"/>
          <w:szCs w:val="22"/>
          <w:lang w:val="id-ID"/>
        </w:rPr>
        <w:t xml:space="preserve"> shows potential as a medicine agent, demonstrating diuretic, antiinflammatory, and antimicrobial properties </w:t>
      </w:r>
      <w:r w:rsidRPr="00781948">
        <w:rPr>
          <w:sz w:val="22"/>
          <w:szCs w:val="22"/>
          <w:lang w:val="id-ID"/>
        </w:rPr>
        <w:fldChar w:fldCharType="begin"/>
      </w:r>
      <w:r w:rsidR="00B51C4F" w:rsidRPr="00781948">
        <w:rPr>
          <w:sz w:val="22"/>
          <w:szCs w:val="22"/>
          <w:lang w:val="id-ID"/>
        </w:rPr>
        <w:instrText xml:space="preserve"> ADDIN ZOTERO_ITEM CSL_CITATION {"citationID":"cQd6E302","properties":{"custom":"(Chen dkk., 2020)","formattedCitation":"(Chen dkk., 2020)","plainCitation":"(Chen dkk., 2020)","dontUpdate":true,"noteIndex":0},"citationItems":[{"id":"n67l8Wxv/pR4Hk9GH","uris":["http://zotero.org/users/local/aclxgGd8/items/JKUDYG6W"],"itemData":{"id":181,"type":"article-journal","abstract":"Abstract\n            \n              A new irlactane-type, namely irlactin K (\n              1\n              ), and 22 tremulane-type sesquiterpenes including fourteen previously undescribed ones, namely irpexolactins A–N (\n              2\n              –\n              15\n              ), and a known irlactane-type sesquiterpenoid, were isolated from the fermentation broth of the medicinal fungus\n              Irpex lacteus\n              HFG1102. The structures of all the isolates were characterized by extensive spectroscopic methods, including 1D and 2D NMR and MS spectroscopic analysis. The absolute configurations of irlactin K and the known compound conocenol B (\n              20\n              ) were established by single-crystal X-ray diffraction analysis. The vasorelaxant effects of irlactin K (\n              1\n              ), irpexolactins A (\n              2\n              ), C (\n              4\n              ), K (\n              12\n              ), and irlactam (\n              22\n              ) were evaluated.\n            \n            \n              Graphic Abstract","container-title":"Natural Products and Bioprospecting","DOI":"10.1007/s13659-020-00239-z","ISSN":"2192-2195, 2192-2209","issue":"2","journalAbbreviation":"Nat. Prod. Bioprospect.","language":"en","page":"89-100","source":"DOI.org (Crossref)","title":"Irlactane and Tremulane Sesquiterpenes from the Cultures of the Medicinal Fungus Irpex lacteus HFG1102","volume":"10","author":[{"family":"Chen","given":"He-Ping"},{"family":"Ji","given":"Xu"},{"family":"Li","given":"Zheng-Hui"},{"family":"Feng","given":"Tao"},{"family":"Liu","given":"Ji-Kai"}],"issued":{"date-parts":[["2020",4]]}}}],"schema":"https://github.com/citation-style-language/schema/raw/master/csl-citation.json"} </w:instrText>
      </w:r>
      <w:r w:rsidRPr="00781948">
        <w:rPr>
          <w:sz w:val="22"/>
          <w:szCs w:val="22"/>
          <w:lang w:val="id-ID"/>
        </w:rPr>
        <w:fldChar w:fldCharType="separate"/>
      </w:r>
      <w:r w:rsidRPr="00781948">
        <w:rPr>
          <w:sz w:val="22"/>
          <w:szCs w:val="22"/>
          <w:lang w:val="id-ID"/>
        </w:rPr>
        <w:t>(Chen et al., 2020)</w:t>
      </w:r>
      <w:r w:rsidRPr="00781948">
        <w:rPr>
          <w:sz w:val="22"/>
          <w:szCs w:val="22"/>
          <w:lang w:val="id-ID"/>
        </w:rPr>
        <w:fldChar w:fldCharType="end"/>
      </w:r>
      <w:r w:rsidRPr="00781948">
        <w:rPr>
          <w:sz w:val="22"/>
          <w:szCs w:val="22"/>
          <w:lang w:val="id-ID"/>
        </w:rPr>
        <w:t xml:space="preserve">. The fermented mycelia of </w:t>
      </w:r>
      <w:r w:rsidRPr="00781948">
        <w:rPr>
          <w:i/>
          <w:iCs/>
          <w:sz w:val="22"/>
          <w:szCs w:val="22"/>
          <w:lang w:val="id-ID"/>
        </w:rPr>
        <w:t>Phylloporia</w:t>
      </w:r>
      <w:r w:rsidRPr="00781948">
        <w:rPr>
          <w:sz w:val="22"/>
          <w:szCs w:val="22"/>
          <w:lang w:val="id-ID"/>
        </w:rPr>
        <w:t xml:space="preserve"> have been approved as a food supplement </w:t>
      </w:r>
      <w:r w:rsidRPr="00781948">
        <w:rPr>
          <w:sz w:val="22"/>
          <w:szCs w:val="22"/>
          <w:lang w:val="id-ID"/>
        </w:rPr>
        <w:fldChar w:fldCharType="begin"/>
      </w:r>
      <w:r w:rsidR="00B51C4F" w:rsidRPr="00781948">
        <w:rPr>
          <w:sz w:val="22"/>
          <w:szCs w:val="22"/>
          <w:lang w:val="id-ID"/>
        </w:rPr>
        <w:instrText xml:space="preserve"> ADDIN ZOTERO_ITEM CSL_CITATION {"citationID":"KyUBl88J","properties":{"formattedCitation":"(Cheng dkk., 2023)","plainCitation":"(Cheng dkk., 2023)","dontUpdate":true,"noteIndex":0},"citationItems":[{"id":"n67l8Wxv/8W7vTDC1","uris":["http://zotero.org/users/local/aclxgGd8/items/HDVVDAIY"],"itemData":{"id":183,"type":"article-journal","container-title":"Food Reviews International","DOI":"10.1080/87559129.2021.1967382","ISSN":"8755-9129, 1525-6103","issue":"5","journalAbbreviation":"Food Reviews International","language":"en","page":"2776-2789","source":"DOI.org (Crossref)","title":"&lt;i&gt;Phylloporia&lt;/i&gt; (Hymenochaetales, Basidiomycota), a Medicinal Wood-inhabiting Fungal Genus with Much Potential for Commercial Development","volume":"39","author":[{"family":"Cheng","given":"Ye"},{"family":"Zhou","given":"Lin-Jiang"},{"family":"Jiang","given":"Ji-Hang"},{"family":"Tian","given":"Xue-Mei"},{"family":"Zhou","given":"Li-Wei"}],"issued":{"date-parts":[["2023",7,4]]}}}],"schema":"https://github.com/citation-style-language/schema/raw/master/csl-citation.json"} </w:instrText>
      </w:r>
      <w:r w:rsidRPr="00781948">
        <w:rPr>
          <w:sz w:val="22"/>
          <w:szCs w:val="22"/>
          <w:lang w:val="id-ID"/>
        </w:rPr>
        <w:fldChar w:fldCharType="separate"/>
      </w:r>
      <w:r w:rsidRPr="00781948">
        <w:rPr>
          <w:sz w:val="22"/>
          <w:szCs w:val="22"/>
          <w:lang w:val="id-ID"/>
        </w:rPr>
        <w:t>(Cheng et al., 2023)</w:t>
      </w:r>
      <w:r w:rsidRPr="00781948">
        <w:rPr>
          <w:sz w:val="22"/>
          <w:szCs w:val="22"/>
          <w:lang w:val="id-ID"/>
        </w:rPr>
        <w:fldChar w:fldCharType="end"/>
      </w:r>
      <w:r w:rsidRPr="00781948">
        <w:rPr>
          <w:sz w:val="22"/>
          <w:szCs w:val="22"/>
          <w:lang w:val="id-ID"/>
        </w:rPr>
        <w:t xml:space="preserve">. </w:t>
      </w:r>
      <w:r w:rsidRPr="00781948">
        <w:rPr>
          <w:i/>
          <w:iCs/>
          <w:sz w:val="22"/>
          <w:szCs w:val="22"/>
          <w:lang w:val="id-ID"/>
        </w:rPr>
        <w:t>Phellinus</w:t>
      </w:r>
      <w:r w:rsidRPr="00781948">
        <w:rPr>
          <w:sz w:val="22"/>
          <w:szCs w:val="22"/>
          <w:lang w:val="id-ID"/>
        </w:rPr>
        <w:t xml:space="preserve"> </w:t>
      </w:r>
      <w:r w:rsidRPr="00781948">
        <w:rPr>
          <w:i/>
          <w:iCs/>
          <w:sz w:val="22"/>
          <w:szCs w:val="22"/>
          <w:lang w:val="id-ID"/>
        </w:rPr>
        <w:t>linteus</w:t>
      </w:r>
      <w:r w:rsidRPr="00781948">
        <w:rPr>
          <w:sz w:val="22"/>
          <w:szCs w:val="22"/>
          <w:lang w:val="id-ID"/>
        </w:rPr>
        <w:t xml:space="preserve">  are employed in traditional Chinese medicine and is known for a range pharmacological applications, including anticancer, anti-inflammatory, immunomodulatory, antioxidative, and antifungal activities, as well as antidiabetic, hepatoprotective, and neuroprotective effects </w:t>
      </w:r>
      <w:r w:rsidRPr="00781948">
        <w:rPr>
          <w:sz w:val="22"/>
          <w:szCs w:val="22"/>
          <w:lang w:val="id-ID"/>
        </w:rPr>
        <w:fldChar w:fldCharType="begin"/>
      </w:r>
      <w:r w:rsidR="00B51C4F" w:rsidRPr="00781948">
        <w:rPr>
          <w:sz w:val="22"/>
          <w:szCs w:val="22"/>
          <w:lang w:val="id-ID"/>
        </w:rPr>
        <w:instrText xml:space="preserve"> ADDIN ZOTERO_ITEM CSL_CITATION {"citationID":"F94WR95N","properties":{"formattedCitation":"(W. Chen dkk., 2019; Sliva, 2010)","plainCitation":"(W. Chen dkk., 2019; Sliva, 2010)","dontUpdate":true,"noteIndex":0},"citationItems":[{"id":"n67l8Wxv/zbrBEDIC","uris":["http://zotero.org/users/local/aclxgGd8/items/3WWPEIKD"],"itemData":{"id":186,"type":"article-journal","abstract":"Phellinus linteus is a popular medicinal mushroom that is widely used in China, Korea, Japan, and other Asian countries. P. linteus comprises various bioactive components, such as polysaccharides, triterpenoids, phenylpropanoids, and furans, and has proven to be an effective therapeutic agent in traditional Chinese medicine for the treatment and the prevention of various diseases. A number of studies have reported that P. linteus possesses many biological activities useful for pharmacological applications, including anticancer, anti-inflammatory, immunomodulatory, antioxidative, and antifungal activities, as well as antidiabetic, hepatoprotective, and neuroprotective effects. This review article briefly presents the recent progress made in understanding the bioactive components, biological activities, pharmacological applications, safety, and prospects of P. linteus, and provides helpful references and promising directions for further studies of P. linteus.","container-title":"Molecules","DOI":"10.3390/molecules24101888","ISSN":"1420-3049","issue":"10","journalAbbreviation":"Molecules","language":"en","license":"https://creativecommons.org/licenses/by/4.0/","page":"1888","source":"DOI.org (Crossref)","title":"A Review: The Bioactivities and Pharmacological Applications of Phellinus linteus","title-short":"A Review","volume":"24","author":[{"family":"Chen","given":"Wenhua"},{"family":"Tan","given":"Huiying"},{"family":"Liu","given":"Qian"},{"family":"Zheng","given":"Xiaohua"},{"family":"Zhang","given":"Hua"},{"family":"Liu","given":"Yuhong"},{"family":"Xu","given":"Lingchuan"}],"issued":{"date-parts":[["2019",5,16]]}}},{"id":"n67l8Wxv/HTYCZ8eb","uris":["http://zotero.org/users/local/aclxgGd8/items/98VS3DW4"],"itemData":{"id":184,"type":"article-journal","container-title":"Experimental and Therapeutic Medicine","DOI":"10.3892/etm_00000063","ISSN":"1792-0981, 1792-1015","issue":"3","language":"en","page":"407-411","source":"DOI.org (Crossref)","title":"Medicinal mushroom Phellinus linteus as an alternative cancer therapy","volume":"1","author":[{"family":"Sliva","given":"Daniel"}],"issued":{"date-parts":[["2010"]]}}}],"schema":"https://github.com/citation-style-language/schema/raw/master/csl-citation.json"} </w:instrText>
      </w:r>
      <w:r w:rsidRPr="00781948">
        <w:rPr>
          <w:sz w:val="22"/>
          <w:szCs w:val="22"/>
          <w:lang w:val="id-ID"/>
        </w:rPr>
        <w:fldChar w:fldCharType="separate"/>
      </w:r>
      <w:r w:rsidRPr="00781948">
        <w:rPr>
          <w:sz w:val="22"/>
          <w:szCs w:val="22"/>
          <w:lang w:val="id-ID"/>
        </w:rPr>
        <w:t>(Chen et al., 2019; Sliva, 2010)</w:t>
      </w:r>
      <w:r w:rsidRPr="00781948">
        <w:rPr>
          <w:sz w:val="22"/>
          <w:szCs w:val="22"/>
          <w:lang w:val="id-ID"/>
        </w:rPr>
        <w:fldChar w:fldCharType="end"/>
      </w:r>
      <w:r w:rsidRPr="00781948">
        <w:rPr>
          <w:sz w:val="22"/>
          <w:szCs w:val="22"/>
          <w:lang w:val="id-ID"/>
        </w:rPr>
        <w:t xml:space="preserve">. </w:t>
      </w:r>
      <w:r w:rsidRPr="00781948">
        <w:rPr>
          <w:i/>
          <w:iCs/>
          <w:sz w:val="22"/>
          <w:szCs w:val="22"/>
          <w:lang w:val="id-ID"/>
        </w:rPr>
        <w:t xml:space="preserve">Stereum ostrea </w:t>
      </w:r>
      <w:r w:rsidRPr="00781948">
        <w:rPr>
          <w:sz w:val="22"/>
          <w:szCs w:val="22"/>
          <w:lang w:val="id-ID"/>
        </w:rPr>
        <w:t xml:space="preserve">exhibits both antimicrobial and antifungal activitity </w:t>
      </w:r>
      <w:r w:rsidRPr="00781948">
        <w:rPr>
          <w:sz w:val="22"/>
          <w:szCs w:val="22"/>
          <w:lang w:val="id-ID"/>
        </w:rPr>
        <w:fldChar w:fldCharType="begin"/>
      </w:r>
      <w:r w:rsidR="00B51C4F" w:rsidRPr="00781948">
        <w:rPr>
          <w:sz w:val="22"/>
          <w:szCs w:val="22"/>
          <w:lang w:val="id-ID"/>
        </w:rPr>
        <w:instrText xml:space="preserve"> ADDIN ZOTERO_ITEM CSL_CITATION {"citationID":"nmXg2SV7","properties":{"formattedCitation":"(Imtiaj dkk., 2007)","plainCitation":"(Imtiaj dkk., 2007)","dontUpdate":true,"noteIndex":0},"citationItems":[{"id":"n67l8Wxv/pqIhr3Sg","uris":["http://zotero.org/users/local/aclxgGd8/items/38YLWZEV"],"itemData":{"id":188,"type":"article-journal","container-title":"Mycobiology","DOI":"10.4489/MYCO.2007.35.4.210","issue":"4","page":"210-214","source":"DOI.org (CSL JSON)","title":"Antibacterial and Antifungal Activities of Stereum ostrea, an Inedible Wild Mushroom","volume":"35","author":[{"family":"Imtiaj","given":"Ahmed"},{"family":"Jayasinghe","given":"Chandana"},{"family":"Lee","given":"Geon-Woo"},{"family":"Lee","given":"Tae-Soo"}],"issued":{"date-parts":[["2007",12,31]]}}}],"schema":"https://github.com/citation-style-language/schema/raw/master/csl-citation.json"} </w:instrText>
      </w:r>
      <w:r w:rsidRPr="00781948">
        <w:rPr>
          <w:sz w:val="22"/>
          <w:szCs w:val="22"/>
          <w:lang w:val="id-ID"/>
        </w:rPr>
        <w:fldChar w:fldCharType="separate"/>
      </w:r>
      <w:r w:rsidRPr="00781948">
        <w:rPr>
          <w:sz w:val="22"/>
          <w:szCs w:val="22"/>
          <w:lang w:val="id-ID"/>
        </w:rPr>
        <w:t>(Imtiaj et al., 2007)</w:t>
      </w:r>
      <w:r w:rsidRPr="00781948">
        <w:rPr>
          <w:sz w:val="22"/>
          <w:szCs w:val="22"/>
          <w:lang w:val="id-ID"/>
        </w:rPr>
        <w:fldChar w:fldCharType="end"/>
      </w:r>
      <w:r w:rsidRPr="00781948">
        <w:rPr>
          <w:sz w:val="22"/>
          <w:szCs w:val="22"/>
          <w:lang w:val="id-ID"/>
        </w:rPr>
        <w:t xml:space="preserve">. Lastly,  </w:t>
      </w:r>
      <w:r w:rsidRPr="00781948">
        <w:rPr>
          <w:i/>
          <w:iCs/>
          <w:sz w:val="22"/>
          <w:szCs w:val="22"/>
          <w:lang w:val="id-ID"/>
        </w:rPr>
        <w:t>Xyaria</w:t>
      </w:r>
      <w:r w:rsidRPr="00781948">
        <w:rPr>
          <w:sz w:val="22"/>
          <w:szCs w:val="22"/>
          <w:lang w:val="id-ID"/>
        </w:rPr>
        <w:t xml:space="preserve"> fungi are producers of diverse biologically active compouns with 245 bioactive compouds comprising of a wide range biological activities including antibacterial, antifungal, anticancer, antimalarial, anti-inflammatory, and α-glucosidase inhibitory activities </w:t>
      </w:r>
      <w:r w:rsidRPr="00781948">
        <w:rPr>
          <w:sz w:val="22"/>
          <w:szCs w:val="22"/>
          <w:lang w:val="id-ID"/>
        </w:rPr>
        <w:fldChar w:fldCharType="begin"/>
      </w:r>
      <w:r w:rsidR="00B51C4F" w:rsidRPr="00781948">
        <w:rPr>
          <w:sz w:val="22"/>
          <w:szCs w:val="22"/>
          <w:lang w:val="id-ID"/>
        </w:rPr>
        <w:instrText xml:space="preserve"> ADDIN ZOTERO_ITEM CSL_CITATION {"citationID":"GHgfEVQ2","properties":{"custom":"(Chen dkk., 2024)","formattedCitation":"(Chen dkk., 2024)","plainCitation":"(Chen dkk., 2024)","dontUpdate":true,"noteIndex":0},"citationItems":[{"id":"n67l8Wxv/a5xeCizF","uris":["http://zotero.org/users/local/aclxgGd8/items/24LSCETG"],"itemData":{"id":190,"type":"article-journal","abstract":"The fungus genus Xylaria is an important source of drug discoveries in scientific fields and in the pharmaceutical industry due to its potential to produce a variety of structured novel and bioactive secondary metabolites. This review prioritizes the structures of the secondary metabolites of Xylaria spp. from 1994 to January 2024 and their relevant biological activities. A total of 445 new compounds, including terpenoids, nitrogen-containing compounds, polyketides, lactones, and other classes, are presented in this review. Remarkably, among these compounds, 177 compounds show various biological activities, including cytotoxic, antimicrobial, anti-inflammatory, antifungal, immunosuppressive, and enzyme-inhibitory activities. This paper will guide further investigations into the structures of novel and potent active natural products derived from Xylaria and their potential contributions to the future development of new natural drug products in the agricultural and medicinal fields.","container-title":"Journal of Fungi","DOI":"10.3390/jof10030190","ISSN":"2309-608X","issue":"3","journalAbbreviation":"JoF","language":"en","license":"https://creativecommons.org/licenses/by/4.0/","page":"190","source":"DOI.org (Crossref)","title":"Structures and Biological Activities of Secondary Metabolites from Xylaria spp.","volume":"10","author":[{"family":"Chen","given":"Weikang"},{"family":"Yu","given":"Miao"},{"family":"Chen","given":"Shiji"},{"family":"Gong","given":"Tianmi"},{"family":"Xie","given":"Linlin"},{"family":"Liu","given":"Jinqin"},{"family":"Bian","given":"Chang"},{"family":"Huang","given":"Guolei"},{"family":"Zheng","given":"Caijuan"}],"issued":{"date-parts":[["2024",2,29]]}}}],"schema":"https://github.com/citation-style-language/schema/raw/master/csl-citation.json"} </w:instrText>
      </w:r>
      <w:r w:rsidRPr="00781948">
        <w:rPr>
          <w:sz w:val="22"/>
          <w:szCs w:val="22"/>
          <w:lang w:val="id-ID"/>
        </w:rPr>
        <w:fldChar w:fldCharType="separate"/>
      </w:r>
      <w:r w:rsidRPr="00781948">
        <w:rPr>
          <w:sz w:val="22"/>
          <w:szCs w:val="22"/>
          <w:lang w:val="id-ID"/>
        </w:rPr>
        <w:t>(Chen et al., 2024)</w:t>
      </w:r>
      <w:r w:rsidRPr="00781948">
        <w:rPr>
          <w:sz w:val="22"/>
          <w:szCs w:val="22"/>
          <w:lang w:val="id-ID"/>
        </w:rPr>
        <w:fldChar w:fldCharType="end"/>
      </w:r>
      <w:r w:rsidRPr="00781948">
        <w:rPr>
          <w:sz w:val="22"/>
          <w:szCs w:val="22"/>
          <w:lang w:val="id-ID"/>
        </w:rPr>
        <w:t>.</w:t>
      </w:r>
    </w:p>
    <w:p w14:paraId="27192DB6" w14:textId="77777777" w:rsidR="00C666AF" w:rsidRPr="00781948" w:rsidRDefault="00C666AF">
      <w:pPr>
        <w:widowControl w:val="0"/>
        <w:autoSpaceDE w:val="0"/>
        <w:autoSpaceDN w:val="0"/>
        <w:adjustRightInd w:val="0"/>
        <w:ind w:firstLine="720"/>
        <w:jc w:val="both"/>
        <w:rPr>
          <w:sz w:val="20"/>
          <w:szCs w:val="20"/>
          <w:lang w:val="id-ID"/>
        </w:rPr>
      </w:pPr>
    </w:p>
    <w:p w14:paraId="0BFB73CA" w14:textId="77777777" w:rsidR="00C666AF" w:rsidRPr="00781948" w:rsidRDefault="00000000">
      <w:pPr>
        <w:widowControl w:val="0"/>
        <w:autoSpaceDE w:val="0"/>
        <w:autoSpaceDN w:val="0"/>
        <w:adjustRightInd w:val="0"/>
        <w:jc w:val="both"/>
        <w:rPr>
          <w:b/>
          <w:sz w:val="22"/>
          <w:szCs w:val="22"/>
          <w:lang w:val="id-ID"/>
        </w:rPr>
      </w:pPr>
      <w:r w:rsidRPr="00781948">
        <w:rPr>
          <w:b/>
          <w:sz w:val="22"/>
          <w:szCs w:val="22"/>
          <w:lang w:val="id-ID"/>
        </w:rPr>
        <w:t>Conclusion</w:t>
      </w:r>
    </w:p>
    <w:p w14:paraId="4895C999" w14:textId="77777777" w:rsidR="00C666AF" w:rsidRPr="00781948" w:rsidRDefault="00C666AF">
      <w:pPr>
        <w:widowControl w:val="0"/>
        <w:autoSpaceDE w:val="0"/>
        <w:autoSpaceDN w:val="0"/>
        <w:adjustRightInd w:val="0"/>
        <w:jc w:val="both"/>
        <w:rPr>
          <w:b/>
          <w:sz w:val="22"/>
          <w:szCs w:val="22"/>
          <w:lang w:val="id-ID"/>
        </w:rPr>
      </w:pPr>
    </w:p>
    <w:p w14:paraId="3563DBC8" w14:textId="77777777" w:rsidR="00C666AF" w:rsidRPr="00781948" w:rsidRDefault="00000000" w:rsidP="00AF5AE6">
      <w:pPr>
        <w:widowControl w:val="0"/>
        <w:ind w:firstLine="540"/>
        <w:jc w:val="both"/>
        <w:rPr>
          <w:sz w:val="22"/>
          <w:szCs w:val="22"/>
          <w:lang w:val="id-ID"/>
        </w:rPr>
      </w:pPr>
      <w:r w:rsidRPr="00781948">
        <w:rPr>
          <w:sz w:val="22"/>
          <w:szCs w:val="22"/>
          <w:lang w:val="id-ID"/>
        </w:rPr>
        <w:t xml:space="preserve">TWA Gunung Tunak harbors a diverse community of macrofungi with potential applications in various fields. A total of 11 species of macrofungi from 6 families namely </w:t>
      </w:r>
      <w:r w:rsidRPr="00781948">
        <w:rPr>
          <w:i/>
          <w:iCs/>
          <w:sz w:val="22"/>
          <w:szCs w:val="22"/>
          <w:lang w:val="id-ID"/>
        </w:rPr>
        <w:t xml:space="preserve">Polyporaceae, Irpicaceae, Hymenochaetaceae, Gloeophyllacaeae, Stereaceae, </w:t>
      </w:r>
      <w:r w:rsidRPr="00781948">
        <w:rPr>
          <w:sz w:val="22"/>
          <w:szCs w:val="22"/>
          <w:lang w:val="id-ID"/>
        </w:rPr>
        <w:t>and</w:t>
      </w:r>
      <w:r w:rsidRPr="00781948">
        <w:rPr>
          <w:i/>
          <w:iCs/>
          <w:sz w:val="22"/>
          <w:szCs w:val="22"/>
          <w:lang w:val="id-ID"/>
        </w:rPr>
        <w:t xml:space="preserve"> Xylariaceae</w:t>
      </w:r>
      <w:r w:rsidRPr="00781948">
        <w:rPr>
          <w:sz w:val="22"/>
          <w:szCs w:val="22"/>
          <w:lang w:val="id-ID"/>
        </w:rPr>
        <w:t xml:space="preserve"> have been identified in TWA Gunung Tunak. The diversity index of the marcrofungi is considered moderate, which is affected by the environmental conditions such as temperature, season, moisture, and rainfall. The macrofungal species found have the potential as medicinal source and food. The species number of macrofungi found in this area is certainly not the final data. Therefore, further study should be conducted to explore the diversity of macrofungi throughout the forest and accross different seasons each year, aiming for more comprehensive data and information. Additionally molecular identification is necessary for the possibility of discovering new species or records in this forest.</w:t>
      </w:r>
    </w:p>
    <w:p w14:paraId="52F36265" w14:textId="77777777" w:rsidR="00C666AF" w:rsidRPr="00781948" w:rsidRDefault="00C666AF">
      <w:pPr>
        <w:widowControl w:val="0"/>
        <w:autoSpaceDE w:val="0"/>
        <w:autoSpaceDN w:val="0"/>
        <w:adjustRightInd w:val="0"/>
        <w:jc w:val="both"/>
        <w:rPr>
          <w:sz w:val="22"/>
          <w:szCs w:val="22"/>
          <w:lang w:val="id-ID"/>
        </w:rPr>
      </w:pPr>
    </w:p>
    <w:p w14:paraId="5E129541" w14:textId="77777777" w:rsidR="00C666AF" w:rsidRPr="00781948" w:rsidRDefault="00000000">
      <w:pPr>
        <w:widowControl w:val="0"/>
        <w:autoSpaceDE w:val="0"/>
        <w:autoSpaceDN w:val="0"/>
        <w:adjustRightInd w:val="0"/>
        <w:jc w:val="both"/>
        <w:rPr>
          <w:b/>
          <w:sz w:val="22"/>
          <w:szCs w:val="22"/>
          <w:lang w:val="id-ID"/>
        </w:rPr>
      </w:pPr>
      <w:r w:rsidRPr="00781948">
        <w:rPr>
          <w:b/>
          <w:sz w:val="22"/>
          <w:szCs w:val="22"/>
          <w:lang w:val="id-ID"/>
        </w:rPr>
        <w:t>Acknowledgements</w:t>
      </w:r>
    </w:p>
    <w:p w14:paraId="09F4D348" w14:textId="77777777" w:rsidR="00C666AF" w:rsidRPr="00781948" w:rsidRDefault="00C666AF">
      <w:pPr>
        <w:widowControl w:val="0"/>
        <w:autoSpaceDE w:val="0"/>
        <w:autoSpaceDN w:val="0"/>
        <w:adjustRightInd w:val="0"/>
        <w:jc w:val="both"/>
        <w:rPr>
          <w:b/>
          <w:sz w:val="22"/>
          <w:szCs w:val="22"/>
          <w:lang w:val="id-ID"/>
        </w:rPr>
      </w:pPr>
    </w:p>
    <w:p w14:paraId="105A1D84" w14:textId="71C2DB17" w:rsidR="00C666AF" w:rsidRPr="00781948" w:rsidRDefault="00000000" w:rsidP="00AF5AE6">
      <w:pPr>
        <w:widowControl w:val="0"/>
        <w:ind w:firstLine="540"/>
        <w:jc w:val="both"/>
        <w:rPr>
          <w:sz w:val="22"/>
          <w:szCs w:val="22"/>
          <w:lang w:val="id-ID"/>
        </w:rPr>
      </w:pPr>
      <w:r w:rsidRPr="00781948">
        <w:rPr>
          <w:sz w:val="22"/>
          <w:szCs w:val="22"/>
          <w:lang w:val="id-ID"/>
        </w:rPr>
        <w:t xml:space="preserve">This study was funded by the LPPM Universitas Islam Al-Azhar through the PDP research scheme under the UNIZAR Internal Grants. We would like to thank our students from the Department of Biology, Faculty of Mathematics and Natural Science, UNIZAR (Ahmad Rifan Hadi, Dedi Kurniawan, Intan Kirani, and Yaumil Hijria) who helped with the field data collection and Balai Konservasi Sumber Daya Alam (BKSDA) NTB who helped with the study method and sampling permit. </w:t>
      </w:r>
    </w:p>
    <w:p w14:paraId="6C2B18CF" w14:textId="77777777" w:rsidR="00C666AF" w:rsidRPr="00781948" w:rsidRDefault="00C666AF">
      <w:pPr>
        <w:tabs>
          <w:tab w:val="left" w:pos="720"/>
          <w:tab w:val="left" w:pos="1440"/>
          <w:tab w:val="left" w:pos="2160"/>
          <w:tab w:val="left" w:pos="2880"/>
          <w:tab w:val="left" w:pos="3600"/>
          <w:tab w:val="left" w:pos="4320"/>
          <w:tab w:val="left" w:pos="5040"/>
          <w:tab w:val="left" w:pos="5760"/>
          <w:tab w:val="left" w:pos="6480"/>
          <w:tab w:val="left" w:pos="7200"/>
          <w:tab w:val="left" w:pos="8247"/>
        </w:tabs>
        <w:jc w:val="both"/>
        <w:rPr>
          <w:sz w:val="22"/>
          <w:szCs w:val="22"/>
          <w:lang w:val="id-ID"/>
        </w:rPr>
      </w:pPr>
    </w:p>
    <w:p w14:paraId="4C639E75" w14:textId="77777777" w:rsidR="00C666AF" w:rsidRPr="00781948" w:rsidRDefault="00000000">
      <w:pPr>
        <w:tabs>
          <w:tab w:val="left" w:pos="720"/>
          <w:tab w:val="left" w:pos="1440"/>
          <w:tab w:val="left" w:pos="2160"/>
          <w:tab w:val="left" w:pos="2880"/>
          <w:tab w:val="left" w:pos="3600"/>
          <w:tab w:val="left" w:pos="4320"/>
          <w:tab w:val="left" w:pos="5040"/>
          <w:tab w:val="left" w:pos="5760"/>
          <w:tab w:val="left" w:pos="6480"/>
          <w:tab w:val="left" w:pos="7200"/>
          <w:tab w:val="left" w:pos="8247"/>
        </w:tabs>
        <w:jc w:val="both"/>
        <w:rPr>
          <w:b/>
          <w:bCs/>
          <w:sz w:val="22"/>
          <w:szCs w:val="22"/>
          <w:lang w:val="id-ID"/>
        </w:rPr>
      </w:pPr>
      <w:r w:rsidRPr="00781948">
        <w:rPr>
          <w:b/>
          <w:bCs/>
          <w:sz w:val="22"/>
          <w:szCs w:val="22"/>
          <w:lang w:val="id-ID"/>
        </w:rPr>
        <w:t>References</w:t>
      </w:r>
    </w:p>
    <w:p w14:paraId="5E3F38A4" w14:textId="77777777" w:rsidR="00C666AF" w:rsidRPr="00781948" w:rsidRDefault="00C666AF">
      <w:pPr>
        <w:widowControl w:val="0"/>
        <w:autoSpaceDE w:val="0"/>
        <w:autoSpaceDN w:val="0"/>
        <w:adjustRightInd w:val="0"/>
        <w:ind w:firstLine="567"/>
        <w:jc w:val="both"/>
        <w:rPr>
          <w:sz w:val="22"/>
          <w:szCs w:val="22"/>
          <w:lang w:val="id-ID"/>
        </w:rPr>
      </w:pPr>
    </w:p>
    <w:p w14:paraId="6278936C"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Ajibola, O. O., Nolasco-Hipolito, C., Carvajal-Zarrabal, O., Salleh, S. F., Adeyinka, G. C., Adefegha, S. A., Ahmmed, M. K., Sumaiya, K., &amp; Thomas, R. (2024). Turkey tail mushroom (Trametes versicolor): An edible macrofungi with immense medicinal properties. </w:t>
      </w:r>
      <w:r w:rsidRPr="00781948">
        <w:rPr>
          <w:i/>
          <w:iCs/>
          <w:sz w:val="22"/>
          <w:lang w:val="id-ID"/>
        </w:rPr>
        <w:t>Current Opinion in Food Science</w:t>
      </w:r>
      <w:r w:rsidRPr="00781948">
        <w:rPr>
          <w:sz w:val="22"/>
          <w:lang w:val="id-ID"/>
        </w:rPr>
        <w:t xml:space="preserve">, </w:t>
      </w:r>
      <w:r w:rsidRPr="00781948">
        <w:rPr>
          <w:i/>
          <w:iCs/>
          <w:sz w:val="22"/>
          <w:lang w:val="id-ID"/>
        </w:rPr>
        <w:t>58</w:t>
      </w:r>
      <w:r w:rsidRPr="00781948">
        <w:rPr>
          <w:sz w:val="22"/>
          <w:lang w:val="id-ID"/>
        </w:rPr>
        <w:t>, 101191. https://doi.org/10.1016/j.cofs.2024.101191</w:t>
      </w:r>
    </w:p>
    <w:p w14:paraId="46BC6F66"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Alem, D., Dejene, T., Oria-de-Rueda, J. A., &amp; Martín-Pinto, P. (2021). Survey of macrofungal diversity and analysis of edaphic factors influencing the fungal community of church forests in Dry Afromontane areas of Northern Ethiopia. </w:t>
      </w:r>
      <w:r w:rsidRPr="00781948">
        <w:rPr>
          <w:i/>
          <w:iCs/>
          <w:sz w:val="22"/>
          <w:lang w:val="id-ID"/>
        </w:rPr>
        <w:t>Forest Ecology and Management</w:t>
      </w:r>
      <w:r w:rsidRPr="00781948">
        <w:rPr>
          <w:sz w:val="22"/>
          <w:lang w:val="id-ID"/>
        </w:rPr>
        <w:t xml:space="preserve">, </w:t>
      </w:r>
      <w:r w:rsidRPr="00781948">
        <w:rPr>
          <w:i/>
          <w:iCs/>
          <w:sz w:val="22"/>
          <w:lang w:val="id-ID"/>
        </w:rPr>
        <w:t>496</w:t>
      </w:r>
      <w:r w:rsidRPr="00781948">
        <w:rPr>
          <w:sz w:val="22"/>
          <w:lang w:val="id-ID"/>
        </w:rPr>
        <w:t xml:space="preserve">, </w:t>
      </w:r>
      <w:r w:rsidRPr="00781948">
        <w:rPr>
          <w:sz w:val="22"/>
          <w:lang w:val="id-ID"/>
        </w:rPr>
        <w:lastRenderedPageBreak/>
        <w:t>119391. https://doi.org/10.1016/j.foreco.2021.119391</w:t>
      </w:r>
    </w:p>
    <w:p w14:paraId="460A8734"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Chen, H.-P., Ji, X., Li, Z.-H., Feng, T., &amp; Liu, J.-K. (2020). Irlactane and Tremulane Sesquiterpenes from the Cultures of the Medicinal Fungus Irpex lacteus HFG1102. </w:t>
      </w:r>
      <w:r w:rsidRPr="00781948">
        <w:rPr>
          <w:i/>
          <w:iCs/>
          <w:sz w:val="22"/>
          <w:lang w:val="id-ID"/>
        </w:rPr>
        <w:t>Natural Products and Bioprospecting</w:t>
      </w:r>
      <w:r w:rsidRPr="00781948">
        <w:rPr>
          <w:sz w:val="22"/>
          <w:lang w:val="id-ID"/>
        </w:rPr>
        <w:t xml:space="preserve">, </w:t>
      </w:r>
      <w:r w:rsidRPr="00781948">
        <w:rPr>
          <w:i/>
          <w:iCs/>
          <w:sz w:val="22"/>
          <w:lang w:val="id-ID"/>
        </w:rPr>
        <w:t>10</w:t>
      </w:r>
      <w:r w:rsidRPr="00781948">
        <w:rPr>
          <w:sz w:val="22"/>
          <w:lang w:val="id-ID"/>
        </w:rPr>
        <w:t>(2), 89–100. https://doi.org/10.1007/s13659-020-00239-z</w:t>
      </w:r>
    </w:p>
    <w:p w14:paraId="1CF1A5FE"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Chen, W., Tan, H., Liu, Q., Zheng, X., Zhang, H., Liu, Y., &amp; Xu, L. (2019). A Review: The Bioactivities and Pharmacological Applications of Phellinus linteus. </w:t>
      </w:r>
      <w:r w:rsidRPr="00781948">
        <w:rPr>
          <w:i/>
          <w:iCs/>
          <w:sz w:val="22"/>
          <w:lang w:val="id-ID"/>
        </w:rPr>
        <w:t>Molecules</w:t>
      </w:r>
      <w:r w:rsidRPr="00781948">
        <w:rPr>
          <w:sz w:val="22"/>
          <w:lang w:val="id-ID"/>
        </w:rPr>
        <w:t xml:space="preserve">, </w:t>
      </w:r>
      <w:r w:rsidRPr="00781948">
        <w:rPr>
          <w:i/>
          <w:iCs/>
          <w:sz w:val="22"/>
          <w:lang w:val="id-ID"/>
        </w:rPr>
        <w:t>24</w:t>
      </w:r>
      <w:r w:rsidRPr="00781948">
        <w:rPr>
          <w:sz w:val="22"/>
          <w:lang w:val="id-ID"/>
        </w:rPr>
        <w:t>(10), 1888. https://doi.org/10.3390/molecules24101888</w:t>
      </w:r>
    </w:p>
    <w:p w14:paraId="7D79BB6A"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Chen, W., Yu, M., Chen, S., Gong, T., Xie, L., Liu, J., Bian, C., Huang, G., &amp; Zheng, C. (2024). Structures and Biological Activities of Secondary Metabolites from Xylaria spp. </w:t>
      </w:r>
      <w:r w:rsidRPr="00781948">
        <w:rPr>
          <w:i/>
          <w:iCs/>
          <w:sz w:val="22"/>
          <w:lang w:val="id-ID"/>
        </w:rPr>
        <w:t>Journal of Fungi</w:t>
      </w:r>
      <w:r w:rsidRPr="00781948">
        <w:rPr>
          <w:sz w:val="22"/>
          <w:lang w:val="id-ID"/>
        </w:rPr>
        <w:t xml:space="preserve">, </w:t>
      </w:r>
      <w:r w:rsidRPr="00781948">
        <w:rPr>
          <w:i/>
          <w:iCs/>
          <w:sz w:val="22"/>
          <w:lang w:val="id-ID"/>
        </w:rPr>
        <w:t>10</w:t>
      </w:r>
      <w:r w:rsidRPr="00781948">
        <w:rPr>
          <w:sz w:val="22"/>
          <w:lang w:val="id-ID"/>
        </w:rPr>
        <w:t>(3), 190. https://doi.org/10.3390/jof10030190</w:t>
      </w:r>
    </w:p>
    <w:p w14:paraId="4217CFE9"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Cheng, Y., Zhou, L.-J., Jiang, J.-H., Tian, X.-M., &amp; Zhou, L.-W. (2023). </w:t>
      </w:r>
      <w:r w:rsidRPr="00781948">
        <w:rPr>
          <w:i/>
          <w:iCs/>
          <w:sz w:val="22"/>
          <w:lang w:val="id-ID"/>
        </w:rPr>
        <w:t>Phylloporia</w:t>
      </w:r>
      <w:r w:rsidRPr="00781948">
        <w:rPr>
          <w:sz w:val="22"/>
          <w:lang w:val="id-ID"/>
        </w:rPr>
        <w:t xml:space="preserve"> (Hymenochaetales, Basidiomycota), a Medicinal Wood-inhabiting Fungal Genus with Much Potential for Commercial Development. </w:t>
      </w:r>
      <w:r w:rsidRPr="00781948">
        <w:rPr>
          <w:i/>
          <w:iCs/>
          <w:sz w:val="22"/>
          <w:lang w:val="id-ID"/>
        </w:rPr>
        <w:t>Food Reviews International</w:t>
      </w:r>
      <w:r w:rsidRPr="00781948">
        <w:rPr>
          <w:sz w:val="22"/>
          <w:lang w:val="id-ID"/>
        </w:rPr>
        <w:t xml:space="preserve">, </w:t>
      </w:r>
      <w:r w:rsidRPr="00781948">
        <w:rPr>
          <w:i/>
          <w:iCs/>
          <w:sz w:val="22"/>
          <w:lang w:val="id-ID"/>
        </w:rPr>
        <w:t>39</w:t>
      </w:r>
      <w:r w:rsidRPr="00781948">
        <w:rPr>
          <w:sz w:val="22"/>
          <w:lang w:val="id-ID"/>
        </w:rPr>
        <w:t>(5), 2776–2789. https://doi.org/10.1080/87559129.2021.1967382</w:t>
      </w:r>
    </w:p>
    <w:p w14:paraId="269007F8"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Chepkirui, C., Yuyama, K. T., Wanga, L. A., Decock, C., Matasyoh, J. C., Abraham, W.-R., &amp; Stadler, M. (2018). Microporenic Acids A–G, Biofilm Inhibitors, and Antimicrobial Agents from the Basidiomycete </w:t>
      </w:r>
      <w:r w:rsidRPr="00781948">
        <w:rPr>
          <w:i/>
          <w:iCs/>
          <w:sz w:val="22"/>
          <w:lang w:val="id-ID"/>
        </w:rPr>
        <w:t>Microporus</w:t>
      </w:r>
      <w:r w:rsidRPr="00781948">
        <w:rPr>
          <w:sz w:val="22"/>
          <w:lang w:val="id-ID"/>
        </w:rPr>
        <w:t xml:space="preserve"> Species. </w:t>
      </w:r>
      <w:r w:rsidRPr="00781948">
        <w:rPr>
          <w:i/>
          <w:iCs/>
          <w:sz w:val="22"/>
          <w:lang w:val="id-ID"/>
        </w:rPr>
        <w:t>Journal of Natural Products</w:t>
      </w:r>
      <w:r w:rsidRPr="00781948">
        <w:rPr>
          <w:sz w:val="22"/>
          <w:lang w:val="id-ID"/>
        </w:rPr>
        <w:t xml:space="preserve">, </w:t>
      </w:r>
      <w:r w:rsidRPr="00781948">
        <w:rPr>
          <w:i/>
          <w:iCs/>
          <w:sz w:val="22"/>
          <w:lang w:val="id-ID"/>
        </w:rPr>
        <w:t>81</w:t>
      </w:r>
      <w:r w:rsidRPr="00781948">
        <w:rPr>
          <w:sz w:val="22"/>
          <w:lang w:val="id-ID"/>
        </w:rPr>
        <w:t>(4), 778–784. https://doi.org/10.1021/acs.jnatprod.7b00764</w:t>
      </w:r>
    </w:p>
    <w:p w14:paraId="7E8E8543"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Collado, E., Bonet, J. A., Alday, J. G., Martínez De Aragón, J., &amp; de-Miguel, S. (2021). Impact of forest thinning on aboveground macrofungal community composition and diversity in Mediterranean pine stands. </w:t>
      </w:r>
      <w:r w:rsidRPr="00781948">
        <w:rPr>
          <w:i/>
          <w:iCs/>
          <w:sz w:val="22"/>
          <w:lang w:val="id-ID"/>
        </w:rPr>
        <w:t>Ecological Indicators</w:t>
      </w:r>
      <w:r w:rsidRPr="00781948">
        <w:rPr>
          <w:sz w:val="22"/>
          <w:lang w:val="id-ID"/>
        </w:rPr>
        <w:t xml:space="preserve">, </w:t>
      </w:r>
      <w:r w:rsidRPr="00781948">
        <w:rPr>
          <w:i/>
          <w:iCs/>
          <w:sz w:val="22"/>
          <w:lang w:val="id-ID"/>
        </w:rPr>
        <w:t>133</w:t>
      </w:r>
      <w:r w:rsidRPr="00781948">
        <w:rPr>
          <w:sz w:val="22"/>
          <w:lang w:val="id-ID"/>
        </w:rPr>
        <w:t>, 108340. https://doi.org/10.1016/j.ecolind.2021.108340</w:t>
      </w:r>
    </w:p>
    <w:p w14:paraId="3C9B692E"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Conn, C., &amp; Dighton, J. (2000). Litter quality influences on decomposition, ectomycorrhizal community structure and mycorrhizal root surface acid phosphatase activity. </w:t>
      </w:r>
      <w:r w:rsidRPr="00781948">
        <w:rPr>
          <w:i/>
          <w:iCs/>
          <w:sz w:val="22"/>
          <w:lang w:val="id-ID"/>
        </w:rPr>
        <w:t>Soil Biology and Biochemistry</w:t>
      </w:r>
      <w:r w:rsidRPr="00781948">
        <w:rPr>
          <w:sz w:val="22"/>
          <w:lang w:val="id-ID"/>
        </w:rPr>
        <w:t xml:space="preserve">, </w:t>
      </w:r>
      <w:r w:rsidRPr="00781948">
        <w:rPr>
          <w:i/>
          <w:iCs/>
          <w:sz w:val="22"/>
          <w:lang w:val="id-ID"/>
        </w:rPr>
        <w:t>32</w:t>
      </w:r>
      <w:r w:rsidRPr="00781948">
        <w:rPr>
          <w:sz w:val="22"/>
          <w:lang w:val="id-ID"/>
        </w:rPr>
        <w:t>(4), 489–496. https://doi.org/10.1016/S0038-0717(99)00178-9</w:t>
      </w:r>
    </w:p>
    <w:p w14:paraId="311EDDB5"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Elina, C., &amp; Mayana, E. (2019). POTENSI OBYEK WISATA TAMAN WISATA ALAM GUNUNG TUNAK. </w:t>
      </w:r>
      <w:r w:rsidRPr="00781948">
        <w:rPr>
          <w:i/>
          <w:iCs/>
          <w:sz w:val="22"/>
          <w:lang w:val="id-ID"/>
        </w:rPr>
        <w:t>JURNAL SOSIAL EKONOMI DAN HUMANIORA</w:t>
      </w:r>
      <w:r w:rsidRPr="00781948">
        <w:rPr>
          <w:sz w:val="22"/>
          <w:lang w:val="id-ID"/>
        </w:rPr>
        <w:t xml:space="preserve">, </w:t>
      </w:r>
      <w:r w:rsidRPr="00781948">
        <w:rPr>
          <w:i/>
          <w:iCs/>
          <w:sz w:val="22"/>
          <w:lang w:val="id-ID"/>
        </w:rPr>
        <w:t>5</w:t>
      </w:r>
      <w:r w:rsidRPr="00781948">
        <w:rPr>
          <w:sz w:val="22"/>
          <w:lang w:val="id-ID"/>
        </w:rPr>
        <w:t>(2), 134–139. https://doi.org/10.29303/jseh.v5i2.40</w:t>
      </w:r>
    </w:p>
    <w:p w14:paraId="082C33FC"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Gandjar, I., Sjamsurizal, W., &amp; Oetari, A. (2006). </w:t>
      </w:r>
      <w:r w:rsidRPr="00781948">
        <w:rPr>
          <w:i/>
          <w:iCs/>
          <w:sz w:val="22"/>
          <w:lang w:val="id-ID"/>
        </w:rPr>
        <w:t>Mikologi Dasar dan Terapan</w:t>
      </w:r>
      <w:r w:rsidRPr="00781948">
        <w:rPr>
          <w:sz w:val="22"/>
          <w:lang w:val="id-ID"/>
        </w:rPr>
        <w:t>. Yayasan Pustaka Obor Indonesia.</w:t>
      </w:r>
    </w:p>
    <w:p w14:paraId="22D30C1C"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Ghosh, S. K., Sanyal, T., &amp; Bera, T. (2020). Anticancer Activity of Solvent Extracts of Hexogonia glabra against Cervical Cancer Cell Lines. </w:t>
      </w:r>
      <w:r w:rsidRPr="00781948">
        <w:rPr>
          <w:i/>
          <w:iCs/>
          <w:sz w:val="22"/>
          <w:lang w:val="id-ID"/>
        </w:rPr>
        <w:t>Asian Pacific Journal of Cancer Prevention</w:t>
      </w:r>
      <w:r w:rsidRPr="00781948">
        <w:rPr>
          <w:sz w:val="22"/>
          <w:lang w:val="id-ID"/>
        </w:rPr>
        <w:t xml:space="preserve">, </w:t>
      </w:r>
      <w:r w:rsidRPr="00781948">
        <w:rPr>
          <w:i/>
          <w:iCs/>
          <w:sz w:val="22"/>
          <w:lang w:val="id-ID"/>
        </w:rPr>
        <w:t>21</w:t>
      </w:r>
      <w:r w:rsidRPr="00781948">
        <w:rPr>
          <w:sz w:val="22"/>
          <w:lang w:val="id-ID"/>
        </w:rPr>
        <w:t>(7), 1977–1986. https://doi.org/10.31557/APJCP.2020.21.7.1977</w:t>
      </w:r>
    </w:p>
    <w:p w14:paraId="1584658B"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Hawksworth, D. L., &amp; Lücking, R. (2017). Fungal Diversity Revisited: 2.2 to 3.8 Million Species. </w:t>
      </w:r>
      <w:r w:rsidRPr="00781948">
        <w:rPr>
          <w:i/>
          <w:iCs/>
          <w:sz w:val="22"/>
          <w:lang w:val="id-ID"/>
        </w:rPr>
        <w:t>Microbiology Spectrum</w:t>
      </w:r>
      <w:r w:rsidRPr="00781948">
        <w:rPr>
          <w:sz w:val="22"/>
          <w:lang w:val="id-ID"/>
        </w:rPr>
        <w:t xml:space="preserve">, </w:t>
      </w:r>
      <w:r w:rsidRPr="00781948">
        <w:rPr>
          <w:i/>
          <w:iCs/>
          <w:sz w:val="22"/>
          <w:lang w:val="id-ID"/>
        </w:rPr>
        <w:t>5</w:t>
      </w:r>
      <w:r w:rsidRPr="00781948">
        <w:rPr>
          <w:sz w:val="22"/>
          <w:lang w:val="id-ID"/>
        </w:rPr>
        <w:t>(4), Article 4. https://doi.org/10.1128/microbiolspec.FUNK-0052-2016</w:t>
      </w:r>
    </w:p>
    <w:p w14:paraId="13383108"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Imtiaj, A., Jayasinghe, C., Lee, G.-W., &amp; Lee, T.-S. (2007). Antibacterial and Antifungal Activities of Stereum ostrea, an Inedible Wild Mushroom. </w:t>
      </w:r>
      <w:r w:rsidRPr="00781948">
        <w:rPr>
          <w:i/>
          <w:iCs/>
          <w:sz w:val="22"/>
          <w:lang w:val="id-ID"/>
        </w:rPr>
        <w:t>Mycobiology</w:t>
      </w:r>
      <w:r w:rsidRPr="00781948">
        <w:rPr>
          <w:sz w:val="22"/>
          <w:lang w:val="id-ID"/>
        </w:rPr>
        <w:t xml:space="preserve">, </w:t>
      </w:r>
      <w:r w:rsidRPr="00781948">
        <w:rPr>
          <w:i/>
          <w:iCs/>
          <w:sz w:val="22"/>
          <w:lang w:val="id-ID"/>
        </w:rPr>
        <w:t>35</w:t>
      </w:r>
      <w:r w:rsidRPr="00781948">
        <w:rPr>
          <w:sz w:val="22"/>
          <w:lang w:val="id-ID"/>
        </w:rPr>
        <w:t>(4), 210–214. https://doi.org/10.4489/MYCO.2007.35.4.210</w:t>
      </w:r>
    </w:p>
    <w:p w14:paraId="6DBDC7D6"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Kutszegi, G., Siller, I., Dima, B., Merényi, Z., Varga, T., Takács, K., Turcsányi, G., Bidló, A., &amp; Ódor, P. (2021). Revealing hidden drivers of macrofungal species richness by analyzing fungal guilds in temperate forests, West Hungary. </w:t>
      </w:r>
      <w:r w:rsidRPr="00781948">
        <w:rPr>
          <w:i/>
          <w:iCs/>
          <w:sz w:val="22"/>
          <w:lang w:val="id-ID"/>
        </w:rPr>
        <w:t>Community Ecology</w:t>
      </w:r>
      <w:r w:rsidRPr="00781948">
        <w:rPr>
          <w:sz w:val="22"/>
          <w:lang w:val="id-ID"/>
        </w:rPr>
        <w:t xml:space="preserve">, </w:t>
      </w:r>
      <w:r w:rsidRPr="00781948">
        <w:rPr>
          <w:i/>
          <w:iCs/>
          <w:sz w:val="22"/>
          <w:lang w:val="id-ID"/>
        </w:rPr>
        <w:t>22</w:t>
      </w:r>
      <w:r w:rsidRPr="00781948">
        <w:rPr>
          <w:sz w:val="22"/>
          <w:lang w:val="id-ID"/>
        </w:rPr>
        <w:t>(1), 13–28. https://doi.org/10.1007/s42974-020-00031-6</w:t>
      </w:r>
    </w:p>
    <w:p w14:paraId="24A844F8"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Li, H., Guo, J., Goldberg, S. D., Sreekar, R., Ye, L., Luo, X., Sysouphanthong, P., Xu, J., Hyde, K. D., &amp; Mortimer, P. E. (2018). Fruiting patterns of macrofungi in tropical and temperate land use types in Yunnan Province, China. </w:t>
      </w:r>
      <w:r w:rsidRPr="00781948">
        <w:rPr>
          <w:i/>
          <w:iCs/>
          <w:sz w:val="22"/>
          <w:lang w:val="id-ID"/>
        </w:rPr>
        <w:t>Acta Oecologica</w:t>
      </w:r>
      <w:r w:rsidRPr="00781948">
        <w:rPr>
          <w:sz w:val="22"/>
          <w:lang w:val="id-ID"/>
        </w:rPr>
        <w:t xml:space="preserve">, </w:t>
      </w:r>
      <w:r w:rsidRPr="00781948">
        <w:rPr>
          <w:i/>
          <w:iCs/>
          <w:sz w:val="22"/>
          <w:lang w:val="id-ID"/>
        </w:rPr>
        <w:t>91</w:t>
      </w:r>
      <w:r w:rsidRPr="00781948">
        <w:rPr>
          <w:sz w:val="22"/>
          <w:lang w:val="id-ID"/>
        </w:rPr>
        <w:t>, 7–</w:t>
      </w:r>
      <w:r w:rsidRPr="00781948">
        <w:rPr>
          <w:sz w:val="22"/>
          <w:lang w:val="id-ID"/>
        </w:rPr>
        <w:lastRenderedPageBreak/>
        <w:t>15. https://doi.org/10.1016/j.actao.2018.05.008</w:t>
      </w:r>
    </w:p>
    <w:p w14:paraId="666AAB0B"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Lodi, R. S., Dong, X., Wang, X., Han, Y., Liang, X., Peng, C., &amp; Peng, L. (2025). Current research on the medical importance of Trametes species. </w:t>
      </w:r>
      <w:r w:rsidRPr="00781948">
        <w:rPr>
          <w:i/>
          <w:iCs/>
          <w:sz w:val="22"/>
          <w:lang w:val="id-ID"/>
        </w:rPr>
        <w:t>Fungal Biology Reviews</w:t>
      </w:r>
      <w:r w:rsidRPr="00781948">
        <w:rPr>
          <w:sz w:val="22"/>
          <w:lang w:val="id-ID"/>
        </w:rPr>
        <w:t xml:space="preserve">, </w:t>
      </w:r>
      <w:r w:rsidRPr="00781948">
        <w:rPr>
          <w:i/>
          <w:iCs/>
          <w:sz w:val="22"/>
          <w:lang w:val="id-ID"/>
        </w:rPr>
        <w:t>51</w:t>
      </w:r>
      <w:r w:rsidRPr="00781948">
        <w:rPr>
          <w:sz w:val="22"/>
          <w:lang w:val="id-ID"/>
        </w:rPr>
        <w:t>, 100413. https://doi.org/10.1016/j.fbr.2025.100413</w:t>
      </w:r>
    </w:p>
    <w:p w14:paraId="2530B3BE"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Margalef, R. (1964). Correspondence between the classic types of lakes and the structural and dynamic properties of their populations: With l figure and 2 tables in the text. </w:t>
      </w:r>
      <w:r w:rsidRPr="00781948">
        <w:rPr>
          <w:i/>
          <w:iCs/>
          <w:sz w:val="22"/>
          <w:lang w:val="id-ID"/>
        </w:rPr>
        <w:t>SIL Proceedings, 1922-2010</w:t>
      </w:r>
      <w:r w:rsidRPr="00781948">
        <w:rPr>
          <w:sz w:val="22"/>
          <w:lang w:val="id-ID"/>
        </w:rPr>
        <w:t xml:space="preserve">, </w:t>
      </w:r>
      <w:r w:rsidRPr="00781948">
        <w:rPr>
          <w:i/>
          <w:iCs/>
          <w:sz w:val="22"/>
          <w:lang w:val="id-ID"/>
        </w:rPr>
        <w:t>15</w:t>
      </w:r>
      <w:r w:rsidRPr="00781948">
        <w:rPr>
          <w:sz w:val="22"/>
          <w:lang w:val="id-ID"/>
        </w:rPr>
        <w:t>(1), 169–175. https://doi.org/10.1080/03680770.1962.11895518</w:t>
      </w:r>
    </w:p>
    <w:p w14:paraId="586C4555"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Nurdiyanti, M. D., Suharti, A., Amelya, M. P., &amp; Putra, I. P. (2020). Catatan Diversitas Jamur di Salah Satu Pulau Terluar Republik Indonesia: Notes on the Diversity of Macrofungi at one of the Outermost Islands in the Republic of Indonesia. </w:t>
      </w:r>
      <w:r w:rsidRPr="00781948">
        <w:rPr>
          <w:i/>
          <w:iCs/>
          <w:sz w:val="22"/>
          <w:lang w:val="id-ID"/>
        </w:rPr>
        <w:t>Jurnal Sumberdaya Hayati</w:t>
      </w:r>
      <w:r w:rsidRPr="00781948">
        <w:rPr>
          <w:sz w:val="22"/>
          <w:lang w:val="id-ID"/>
        </w:rPr>
        <w:t xml:space="preserve">, </w:t>
      </w:r>
      <w:r w:rsidRPr="00781948">
        <w:rPr>
          <w:i/>
          <w:iCs/>
          <w:sz w:val="22"/>
          <w:lang w:val="id-ID"/>
        </w:rPr>
        <w:t>6</w:t>
      </w:r>
      <w:r w:rsidRPr="00781948">
        <w:rPr>
          <w:sz w:val="22"/>
          <w:lang w:val="id-ID"/>
        </w:rPr>
        <w:t>(2), Article 2. https://doi.org/10.29244/jsdh.6.2.56-66</w:t>
      </w:r>
    </w:p>
    <w:p w14:paraId="4CACA864" w14:textId="77777777" w:rsidR="00AF5AE6" w:rsidRPr="00781948" w:rsidRDefault="00AF5AE6" w:rsidP="00AF5AE6">
      <w:pPr>
        <w:pStyle w:val="Bibliography"/>
        <w:spacing w:line="240" w:lineRule="auto"/>
        <w:ind w:left="540" w:hanging="540"/>
        <w:jc w:val="both"/>
        <w:rPr>
          <w:sz w:val="22"/>
          <w:lang w:val="id-ID"/>
        </w:rPr>
      </w:pPr>
      <w:r w:rsidRPr="00781948">
        <w:rPr>
          <w:sz w:val="22"/>
          <w:lang w:val="id-ID"/>
        </w:rPr>
        <w:t xml:space="preserve">Pratama, A. A., Alpiansah, R., Yuliana, I., &amp; Hermanto, A. (2023). Potret Pengelolaan Berkelanjutan Taman Wisata Alam Gunung Tunak Kabupaten Lombok Tengah. </w:t>
      </w:r>
      <w:r w:rsidRPr="00781948">
        <w:rPr>
          <w:i/>
          <w:iCs/>
          <w:sz w:val="22"/>
          <w:lang w:val="id-ID"/>
        </w:rPr>
        <w:t>Target: Jurnal Manajemen Dan Bisnis</w:t>
      </w:r>
      <w:r w:rsidRPr="00781948">
        <w:rPr>
          <w:sz w:val="22"/>
          <w:lang w:val="id-ID"/>
        </w:rPr>
        <w:t xml:space="preserve">, </w:t>
      </w:r>
      <w:r w:rsidRPr="00781948">
        <w:rPr>
          <w:i/>
          <w:iCs/>
          <w:sz w:val="22"/>
          <w:lang w:val="id-ID"/>
        </w:rPr>
        <w:t>5</w:t>
      </w:r>
      <w:r w:rsidRPr="00781948">
        <w:rPr>
          <w:sz w:val="22"/>
          <w:lang w:val="id-ID"/>
        </w:rPr>
        <w:t>(1), 39–46. https://doi.org/10.30812/target.v5i1.2881</w:t>
      </w:r>
    </w:p>
    <w:p w14:paraId="16C4EE5B" w14:textId="77777777" w:rsidR="00AF5AE6" w:rsidRPr="00291420" w:rsidRDefault="00AF5AE6" w:rsidP="00AF5AE6">
      <w:pPr>
        <w:pStyle w:val="Bibliography"/>
        <w:spacing w:line="240" w:lineRule="auto"/>
        <w:ind w:left="540" w:hanging="540"/>
        <w:jc w:val="both"/>
        <w:rPr>
          <w:sz w:val="22"/>
          <w:lang w:val="id-ID"/>
        </w:rPr>
      </w:pPr>
      <w:r w:rsidRPr="00781948">
        <w:rPr>
          <w:sz w:val="22"/>
          <w:lang w:val="id-ID"/>
        </w:rPr>
        <w:t xml:space="preserve">Priyamvada, H., Akila, M., Singh, R. K., Ravikrishna, R., Verma, R. S., Philip, L., Marathe, R. R., Sahu, L. K., Sudheer, K. P., &amp; Gunthe, S. S. (2017). Terrestrial Macrofungal Diversity from the Tropical Dry Evergreen Biome of Southern India and Its Potential Role in Aerobiology. </w:t>
      </w:r>
      <w:r w:rsidRPr="00291420">
        <w:rPr>
          <w:i/>
          <w:iCs/>
          <w:sz w:val="22"/>
          <w:lang w:val="id-ID"/>
        </w:rPr>
        <w:t>PLOS ONE</w:t>
      </w:r>
      <w:r w:rsidRPr="00291420">
        <w:rPr>
          <w:sz w:val="22"/>
          <w:lang w:val="id-ID"/>
        </w:rPr>
        <w:t xml:space="preserve">, </w:t>
      </w:r>
      <w:r w:rsidRPr="00291420">
        <w:rPr>
          <w:i/>
          <w:iCs/>
          <w:sz w:val="22"/>
          <w:lang w:val="id-ID"/>
        </w:rPr>
        <w:t>12</w:t>
      </w:r>
      <w:r w:rsidRPr="00291420">
        <w:rPr>
          <w:sz w:val="22"/>
          <w:lang w:val="id-ID"/>
        </w:rPr>
        <w:t>(1), e0169333. https://doi.org/10.1371/journal.pone.0169333</w:t>
      </w:r>
    </w:p>
    <w:p w14:paraId="1BF8CD5C" w14:textId="77777777" w:rsidR="00AF5AE6" w:rsidRPr="00291420" w:rsidRDefault="00AF5AE6" w:rsidP="00AF5AE6">
      <w:pPr>
        <w:pStyle w:val="Bibliography"/>
        <w:spacing w:line="240" w:lineRule="auto"/>
        <w:ind w:left="540" w:hanging="540"/>
        <w:jc w:val="both"/>
        <w:rPr>
          <w:sz w:val="22"/>
          <w:lang w:val="id-ID"/>
        </w:rPr>
      </w:pPr>
      <w:r w:rsidRPr="00291420">
        <w:rPr>
          <w:sz w:val="22"/>
          <w:lang w:val="id-ID"/>
        </w:rPr>
        <w:t xml:space="preserve">Putra, I. P., Sitompul, R., &amp; Chalisya, N. (2018). RAGAM DAN POTENSI JAMUR MAKRO ASAL TAMAN WISATA </w:t>
      </w:r>
      <w:r w:rsidRPr="00291420">
        <w:rPr>
          <w:sz w:val="22"/>
          <w:lang w:val="id-ID"/>
        </w:rPr>
        <w:t xml:space="preserve">MEKARSARI JAWA BARAT. </w:t>
      </w:r>
      <w:r w:rsidRPr="00291420">
        <w:rPr>
          <w:i/>
          <w:iCs/>
          <w:sz w:val="22"/>
          <w:lang w:val="id-ID"/>
        </w:rPr>
        <w:t>Al-Kauniyah: Jurnal Biologi</w:t>
      </w:r>
      <w:r w:rsidRPr="00291420">
        <w:rPr>
          <w:sz w:val="22"/>
          <w:lang w:val="id-ID"/>
        </w:rPr>
        <w:t xml:space="preserve">, </w:t>
      </w:r>
      <w:r w:rsidRPr="00291420">
        <w:rPr>
          <w:i/>
          <w:iCs/>
          <w:sz w:val="22"/>
          <w:lang w:val="id-ID"/>
        </w:rPr>
        <w:t>11</w:t>
      </w:r>
      <w:r w:rsidRPr="00291420">
        <w:rPr>
          <w:sz w:val="22"/>
          <w:lang w:val="id-ID"/>
        </w:rPr>
        <w:t>(2), Article 2. https://doi.org/10.15408/kauniyah.v11i2.6729</w:t>
      </w:r>
    </w:p>
    <w:p w14:paraId="32EB1405" w14:textId="77777777" w:rsidR="00AF5AE6" w:rsidRPr="00291420" w:rsidRDefault="00AF5AE6" w:rsidP="00AF5AE6">
      <w:pPr>
        <w:pStyle w:val="Bibliography"/>
        <w:spacing w:line="240" w:lineRule="auto"/>
        <w:ind w:left="540" w:hanging="540"/>
        <w:jc w:val="both"/>
        <w:rPr>
          <w:sz w:val="22"/>
          <w:lang w:val="id-ID"/>
        </w:rPr>
      </w:pPr>
      <w:r w:rsidRPr="00291420">
        <w:rPr>
          <w:sz w:val="22"/>
          <w:lang w:val="id-ID"/>
        </w:rPr>
        <w:t xml:space="preserve">Roberts, P., &amp; Evans, S. (2011). </w:t>
      </w:r>
      <w:r w:rsidRPr="00291420">
        <w:rPr>
          <w:i/>
          <w:iCs/>
          <w:sz w:val="22"/>
          <w:lang w:val="id-ID"/>
        </w:rPr>
        <w:t>The book of fungi: A life-size guide to six hundred species from around the world</w:t>
      </w:r>
      <w:r w:rsidRPr="00291420">
        <w:rPr>
          <w:sz w:val="22"/>
          <w:lang w:val="id-ID"/>
        </w:rPr>
        <w:t>. The University of Chicago Press.</w:t>
      </w:r>
    </w:p>
    <w:p w14:paraId="7F6BD63C" w14:textId="77777777" w:rsidR="00AF5AE6" w:rsidRPr="00291420" w:rsidRDefault="00AF5AE6" w:rsidP="00AF5AE6">
      <w:pPr>
        <w:pStyle w:val="Bibliography"/>
        <w:spacing w:line="240" w:lineRule="auto"/>
        <w:ind w:left="540" w:hanging="540"/>
        <w:jc w:val="both"/>
        <w:rPr>
          <w:sz w:val="22"/>
          <w:lang w:val="id-ID"/>
        </w:rPr>
      </w:pPr>
      <w:r w:rsidRPr="00291420">
        <w:rPr>
          <w:sz w:val="22"/>
          <w:lang w:val="id-ID"/>
        </w:rPr>
        <w:t xml:space="preserve">Rosa, L. H., Machado, K. M. G., Jacob, C. C., Capelari, M., Rosa, C. A., &amp; Zani, C. L. (2003). Screening of Brazilian basidiomycetes for antimicrobial activity. </w:t>
      </w:r>
      <w:r w:rsidRPr="00291420">
        <w:rPr>
          <w:i/>
          <w:iCs/>
          <w:sz w:val="22"/>
          <w:lang w:val="id-ID"/>
        </w:rPr>
        <w:t>Memórias Do Instituto Oswaldo Cruz</w:t>
      </w:r>
      <w:r w:rsidRPr="00291420">
        <w:rPr>
          <w:sz w:val="22"/>
          <w:lang w:val="id-ID"/>
        </w:rPr>
        <w:t xml:space="preserve">, </w:t>
      </w:r>
      <w:r w:rsidRPr="00291420">
        <w:rPr>
          <w:i/>
          <w:iCs/>
          <w:sz w:val="22"/>
          <w:lang w:val="id-ID"/>
        </w:rPr>
        <w:t>98</w:t>
      </w:r>
      <w:r w:rsidRPr="00291420">
        <w:rPr>
          <w:sz w:val="22"/>
          <w:lang w:val="id-ID"/>
        </w:rPr>
        <w:t>(7), 967–974. https://doi.org/10.1590/S0074-02762003000700019</w:t>
      </w:r>
    </w:p>
    <w:p w14:paraId="6706B481" w14:textId="77777777" w:rsidR="00AF5AE6" w:rsidRPr="00291420" w:rsidRDefault="00AF5AE6" w:rsidP="00AF5AE6">
      <w:pPr>
        <w:pStyle w:val="Bibliography"/>
        <w:spacing w:line="240" w:lineRule="auto"/>
        <w:ind w:left="540" w:hanging="540"/>
        <w:jc w:val="both"/>
        <w:rPr>
          <w:sz w:val="22"/>
          <w:lang w:val="id-ID"/>
        </w:rPr>
      </w:pPr>
      <w:r w:rsidRPr="00291420">
        <w:rPr>
          <w:sz w:val="22"/>
          <w:lang w:val="id-ID"/>
        </w:rPr>
        <w:t xml:space="preserve">Santos-Silva, C., Gonçalves, A., &amp; Louro, R. (2011). Canopy cover influence on macrofungal richness and sporocarp production in montado ecosystems. </w:t>
      </w:r>
      <w:r w:rsidRPr="00291420">
        <w:rPr>
          <w:i/>
          <w:iCs/>
          <w:sz w:val="22"/>
          <w:lang w:val="id-ID"/>
        </w:rPr>
        <w:t>Agroforestry Systems</w:t>
      </w:r>
      <w:r w:rsidRPr="00291420">
        <w:rPr>
          <w:sz w:val="22"/>
          <w:lang w:val="id-ID"/>
        </w:rPr>
        <w:t xml:space="preserve">, </w:t>
      </w:r>
      <w:r w:rsidRPr="00291420">
        <w:rPr>
          <w:i/>
          <w:iCs/>
          <w:sz w:val="22"/>
          <w:lang w:val="id-ID"/>
        </w:rPr>
        <w:t>82</w:t>
      </w:r>
      <w:r w:rsidRPr="00291420">
        <w:rPr>
          <w:sz w:val="22"/>
          <w:lang w:val="id-ID"/>
        </w:rPr>
        <w:t>(2), 149–159. https://doi.org/10.1007/s10457-011-9374-7</w:t>
      </w:r>
    </w:p>
    <w:p w14:paraId="0747AAAF" w14:textId="77777777" w:rsidR="00AF5AE6" w:rsidRPr="00291420" w:rsidRDefault="00AF5AE6" w:rsidP="00AF5AE6">
      <w:pPr>
        <w:pStyle w:val="Bibliography"/>
        <w:spacing w:line="240" w:lineRule="auto"/>
        <w:ind w:left="540" w:hanging="540"/>
        <w:jc w:val="both"/>
        <w:rPr>
          <w:sz w:val="22"/>
          <w:lang w:val="id-ID"/>
        </w:rPr>
      </w:pPr>
      <w:r w:rsidRPr="00291420">
        <w:rPr>
          <w:sz w:val="22"/>
          <w:lang w:val="id-ID"/>
        </w:rPr>
        <w:t xml:space="preserve">Sliva, D. (2010). Medicinal mushroom Phellinus linteus as an alternative cancer therapy. </w:t>
      </w:r>
      <w:r w:rsidRPr="00291420">
        <w:rPr>
          <w:i/>
          <w:iCs/>
          <w:sz w:val="22"/>
          <w:lang w:val="id-ID"/>
        </w:rPr>
        <w:t>Experimental and Therapeutic Medicine</w:t>
      </w:r>
      <w:r w:rsidRPr="00291420">
        <w:rPr>
          <w:sz w:val="22"/>
          <w:lang w:val="id-ID"/>
        </w:rPr>
        <w:t xml:space="preserve">, </w:t>
      </w:r>
      <w:r w:rsidRPr="00291420">
        <w:rPr>
          <w:i/>
          <w:iCs/>
          <w:sz w:val="22"/>
          <w:lang w:val="id-ID"/>
        </w:rPr>
        <w:t>1</w:t>
      </w:r>
      <w:r w:rsidRPr="00291420">
        <w:rPr>
          <w:sz w:val="22"/>
          <w:lang w:val="id-ID"/>
        </w:rPr>
        <w:t>(3), 407–411. https://doi.org/10.3892/etm_00000063</w:t>
      </w:r>
    </w:p>
    <w:p w14:paraId="6231F1B5" w14:textId="2EBBE222" w:rsidR="00FA47B6" w:rsidRPr="00291420" w:rsidRDefault="00AF5AE6" w:rsidP="00FA47B6">
      <w:pPr>
        <w:pStyle w:val="Bibliography"/>
        <w:spacing w:line="240" w:lineRule="auto"/>
        <w:ind w:left="540" w:hanging="540"/>
        <w:jc w:val="both"/>
        <w:rPr>
          <w:sz w:val="22"/>
          <w:lang w:val="id-ID"/>
        </w:rPr>
      </w:pPr>
      <w:r w:rsidRPr="00291420">
        <w:rPr>
          <w:sz w:val="22"/>
          <w:lang w:val="id-ID"/>
        </w:rPr>
        <w:t xml:space="preserve">Trudell, S. A., &amp; Edmonds, R. L. (2004). Macrofungus communities correlate with moisture and nitrogen abundance in two old-growth conifer forests, Olympic National Park, Washington, USA. </w:t>
      </w:r>
      <w:r w:rsidRPr="00291420">
        <w:rPr>
          <w:i/>
          <w:iCs/>
          <w:sz w:val="22"/>
          <w:lang w:val="id-ID"/>
        </w:rPr>
        <w:t>Canadian Journal of Botany</w:t>
      </w:r>
      <w:r w:rsidRPr="00291420">
        <w:rPr>
          <w:sz w:val="22"/>
          <w:lang w:val="id-ID"/>
        </w:rPr>
        <w:t xml:space="preserve">, </w:t>
      </w:r>
      <w:r w:rsidRPr="00291420">
        <w:rPr>
          <w:i/>
          <w:iCs/>
          <w:sz w:val="22"/>
          <w:lang w:val="id-ID"/>
        </w:rPr>
        <w:t>82</w:t>
      </w:r>
      <w:r w:rsidRPr="00291420">
        <w:rPr>
          <w:sz w:val="22"/>
          <w:lang w:val="id-ID"/>
        </w:rPr>
        <w:t xml:space="preserve">(6), 781–800. </w:t>
      </w:r>
      <w:hyperlink r:id="rId20" w:history="1">
        <w:r w:rsidR="00FA47B6" w:rsidRPr="00291420">
          <w:rPr>
            <w:rStyle w:val="Hyperlink"/>
            <w:color w:val="auto"/>
            <w:sz w:val="22"/>
            <w:u w:val="none"/>
            <w:lang w:val="id-ID"/>
          </w:rPr>
          <w:t>https://doi.org/10.1139/b04-057</w:t>
        </w:r>
      </w:hyperlink>
    </w:p>
    <w:p w14:paraId="7BF2D595" w14:textId="015D5617" w:rsidR="00291420" w:rsidRDefault="00AF5AE6" w:rsidP="00291420">
      <w:pPr>
        <w:pStyle w:val="Bibliography"/>
        <w:spacing w:line="240" w:lineRule="auto"/>
        <w:ind w:left="540" w:hanging="540"/>
        <w:jc w:val="both"/>
        <w:rPr>
          <w:lang w:val="id-ID"/>
        </w:rPr>
      </w:pPr>
      <w:r w:rsidRPr="00291420">
        <w:rPr>
          <w:sz w:val="22"/>
          <w:lang w:val="id-ID"/>
        </w:rPr>
        <w:t>Yusran, Y., Erniwati, E., Wahyuni, D., Ramadhanil, R., &amp; Khumaidi, A. (2020). Diversity of macro fungus across three altitudinal ranges in Lore Lindu National Park, Central Sulawesi, Indonesia and their utilization by local residents</w:t>
      </w:r>
      <w:r w:rsidRPr="00781948">
        <w:rPr>
          <w:sz w:val="22"/>
          <w:lang w:val="id-ID"/>
        </w:rPr>
        <w:t xml:space="preserve">. </w:t>
      </w:r>
      <w:r w:rsidRPr="00781948">
        <w:rPr>
          <w:i/>
          <w:iCs/>
          <w:sz w:val="22"/>
          <w:lang w:val="id-ID"/>
        </w:rPr>
        <w:t>Biodiversitas Journal of Biological Diversity</w:t>
      </w:r>
      <w:r w:rsidRPr="00781948">
        <w:rPr>
          <w:sz w:val="22"/>
          <w:lang w:val="id-ID"/>
        </w:rPr>
        <w:t xml:space="preserve">, </w:t>
      </w:r>
      <w:r w:rsidRPr="00781948">
        <w:rPr>
          <w:i/>
          <w:iCs/>
          <w:sz w:val="22"/>
          <w:lang w:val="id-ID"/>
        </w:rPr>
        <w:t>22</w:t>
      </w:r>
      <w:r w:rsidRPr="00781948">
        <w:rPr>
          <w:sz w:val="22"/>
          <w:lang w:val="id-ID"/>
        </w:rPr>
        <w:t xml:space="preserve">(1), Article </w:t>
      </w:r>
      <w:r w:rsidRPr="006D5044">
        <w:rPr>
          <w:sz w:val="22"/>
          <w:lang w:val="id-ID"/>
        </w:rPr>
        <w:t xml:space="preserve">1. </w:t>
      </w:r>
      <w:hyperlink r:id="rId21" w:history="1">
        <w:r w:rsidR="00291420" w:rsidRPr="006D5044">
          <w:rPr>
            <w:rStyle w:val="Hyperlink"/>
            <w:color w:val="auto"/>
            <w:sz w:val="22"/>
            <w:u w:val="none"/>
            <w:lang w:val="id-ID"/>
          </w:rPr>
          <w:t>https://doi.org/10.13057/biodiv/d22012</w:t>
        </w:r>
        <w:r w:rsidR="00291420" w:rsidRPr="006D5044">
          <w:rPr>
            <w:rStyle w:val="Hyperlink"/>
            <w:color w:val="auto"/>
            <w:sz w:val="22"/>
            <w:u w:val="none"/>
            <w:lang w:val="id-ID"/>
          </w:rPr>
          <w:t>6</w:t>
        </w:r>
      </w:hyperlink>
    </w:p>
    <w:p w14:paraId="640D65F2" w14:textId="77777777" w:rsidR="00291420" w:rsidRDefault="00291420" w:rsidP="00291420">
      <w:pPr>
        <w:rPr>
          <w:lang w:val="id-ID"/>
        </w:rPr>
        <w:sectPr w:rsidR="00291420" w:rsidSect="00291420">
          <w:type w:val="continuous"/>
          <w:pgSz w:w="11894" w:h="16157" w:code="9"/>
          <w:pgMar w:top="1440" w:right="1440" w:bottom="1440" w:left="1440" w:header="851" w:footer="941" w:gutter="0"/>
          <w:cols w:num="2" w:space="432"/>
          <w:docGrid w:linePitch="360"/>
        </w:sectPr>
      </w:pPr>
    </w:p>
    <w:p w14:paraId="38099E5F" w14:textId="77777777" w:rsidR="00291420" w:rsidRPr="00291420" w:rsidRDefault="00291420" w:rsidP="00291420">
      <w:pPr>
        <w:rPr>
          <w:lang w:val="id-ID"/>
        </w:rPr>
      </w:pPr>
    </w:p>
    <w:sectPr w:rsidR="00291420" w:rsidRPr="00291420">
      <w:type w:val="continuous"/>
      <w:pgSz w:w="11894" w:h="16157" w:code="9"/>
      <w:pgMar w:top="1440" w:right="1440" w:bottom="1440" w:left="1440" w:header="851" w:footer="941" w:gutter="0"/>
      <w:cols w:num="2" w:space="431"/>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4A0AC3" w14:textId="77777777" w:rsidR="00B16395" w:rsidRDefault="00B16395">
      <w:r>
        <w:separator/>
      </w:r>
    </w:p>
  </w:endnote>
  <w:endnote w:type="continuationSeparator" w:id="0">
    <w:p w14:paraId="76BEE775" w14:textId="77777777" w:rsidR="00B16395" w:rsidRDefault="00B16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Times New Roman"/>
    <w:panose1 w:val="00000000000000000000"/>
    <w:charset w:val="00"/>
    <w:family w:val="roman"/>
    <w:notTrueType/>
    <w:pitch w:val="default"/>
  </w:font>
  <w:font w:name="ヒラギノ角ゴ Pro W3">
    <w:altName w:val="Times New Roman"/>
    <w:panose1 w:val="00000000000000000000"/>
    <w:charset w:val="80"/>
    <w:family w:val="roman"/>
    <w:notTrueType/>
    <w:pitch w:val="default"/>
  </w:font>
  <w:font w:name="Times New Roman Bold">
    <w:panose1 w:val="02020803070505020304"/>
    <w:charset w:val="00"/>
    <w:family w:val="roman"/>
    <w:notTrueType/>
    <w:pitch w:val="default"/>
  </w:font>
  <w:font w:name="Times New Roman Bold Italic">
    <w:panose1 w:val="0202070306050509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venir Black">
    <w:altName w:val="Calibri"/>
    <w:charset w:val="00"/>
    <w:family w:val="auto"/>
    <w:pitch w:val="variable"/>
    <w:sig w:usb0="800000AF" w:usb1="5000204A" w:usb2="00000000" w:usb3="00000000" w:csb0="0000009B"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37097"/>
      <w:docPartObj>
        <w:docPartGallery w:val="Page Numbers (Bottom of Page)"/>
        <w:docPartUnique/>
      </w:docPartObj>
    </w:sdtPr>
    <w:sdtEndPr>
      <w:rPr>
        <w:noProof/>
        <w:sz w:val="16"/>
        <w:szCs w:val="16"/>
      </w:rPr>
    </w:sdtEndPr>
    <w:sdtContent>
      <w:p w14:paraId="73BA9FAD" w14:textId="4B0FB5FA" w:rsidR="00ED090B" w:rsidRPr="00696F48" w:rsidRDefault="00696F48" w:rsidP="00696F48">
        <w:pPr>
          <w:pStyle w:val="Footer"/>
          <w:jc w:val="center"/>
          <w:rPr>
            <w:sz w:val="16"/>
            <w:szCs w:val="16"/>
          </w:rPr>
        </w:pPr>
        <w:r w:rsidRPr="00696F48">
          <w:rPr>
            <w:sz w:val="16"/>
            <w:szCs w:val="16"/>
          </w:rPr>
          <w:fldChar w:fldCharType="begin"/>
        </w:r>
        <w:r w:rsidRPr="00696F48">
          <w:rPr>
            <w:sz w:val="16"/>
            <w:szCs w:val="16"/>
          </w:rPr>
          <w:instrText xml:space="preserve"> PAGE   \* MERGEFORMAT </w:instrText>
        </w:r>
        <w:r w:rsidRPr="00696F48">
          <w:rPr>
            <w:sz w:val="16"/>
            <w:szCs w:val="16"/>
          </w:rPr>
          <w:fldChar w:fldCharType="separate"/>
        </w:r>
        <w:r w:rsidRPr="00696F48">
          <w:rPr>
            <w:noProof/>
            <w:sz w:val="16"/>
            <w:szCs w:val="16"/>
          </w:rPr>
          <w:t>2</w:t>
        </w:r>
        <w:r w:rsidRPr="00696F48">
          <w:rPr>
            <w:noProof/>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6A72B6" w14:textId="3D58C8D3" w:rsidR="00C666AF" w:rsidRDefault="00000000">
    <w:pPr>
      <w:pStyle w:val="Footer"/>
      <w:tabs>
        <w:tab w:val="left" w:pos="2880"/>
      </w:tabs>
      <w:ind w:left="2552"/>
      <w:jc w:val="right"/>
    </w:pPr>
    <w:r>
      <w:rPr>
        <w:noProof/>
      </w:rPr>
      <mc:AlternateContent>
        <mc:Choice Requires="wps">
          <w:drawing>
            <wp:anchor distT="0" distB="0" distL="0" distR="0" simplePos="0" relativeHeight="3" behindDoc="0" locked="0" layoutInCell="1" allowOverlap="1" wp14:anchorId="4D0906BE" wp14:editId="6E548BF3">
              <wp:simplePos x="0" y="0"/>
              <wp:positionH relativeFrom="column">
                <wp:posOffset>-93980</wp:posOffset>
              </wp:positionH>
              <wp:positionV relativeFrom="paragraph">
                <wp:posOffset>-83185</wp:posOffset>
              </wp:positionV>
              <wp:extent cx="3152775" cy="387985"/>
              <wp:effectExtent l="0" t="0" r="9525" b="0"/>
              <wp:wrapNone/>
              <wp:docPr id="409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52775" cy="387985"/>
                      </a:xfrm>
                      <a:prstGeom prst="rect">
                        <a:avLst/>
                      </a:prstGeom>
                      <a:solidFill>
                        <a:srgbClr val="FFFFFF"/>
                      </a:solidFill>
                      <a:ln>
                        <a:noFill/>
                      </a:ln>
                    </wps:spPr>
                    <wps:txbx>
                      <w:txbxContent>
                        <w:p w14:paraId="4E1A0561" w14:textId="77777777" w:rsidR="00C666AF" w:rsidRDefault="00000000">
                          <w:pPr>
                            <w:tabs>
                              <w:tab w:val="right" w:pos="8640"/>
                            </w:tabs>
                            <w:rPr>
                              <w:rFonts w:ascii="Book Antiqua" w:hAnsi="Book Antiqua"/>
                              <w:color w:val="002060"/>
                              <w:sz w:val="16"/>
                              <w:szCs w:val="16"/>
                            </w:rPr>
                          </w:pPr>
                          <w:r>
                            <w:rPr>
                              <w:rFonts w:ascii="Book Antiqua" w:hAnsi="Book Antiqua"/>
                              <w:color w:val="002060"/>
                              <w:sz w:val="16"/>
                              <w:szCs w:val="16"/>
                            </w:rPr>
                            <w:t>This article is licensed under a </w:t>
                          </w:r>
                          <w:hyperlink r:id="rId1" w:history="1">
                            <w:r w:rsidR="00C666AF">
                              <w:rPr>
                                <w:rStyle w:val="Hyperlink"/>
                                <w:rFonts w:ascii="Book Antiqua" w:hAnsi="Book Antiqua"/>
                                <w:sz w:val="16"/>
                                <w:szCs w:val="16"/>
                              </w:rPr>
                              <w:t>Creative Commons Attribution 4.0 International License</w:t>
                            </w:r>
                          </w:hyperlink>
                          <w:r>
                            <w:rPr>
                              <w:rFonts w:ascii="Book Antiqua" w:hAnsi="Book Antiqua"/>
                              <w:color w:val="002060"/>
                              <w:sz w:val="16"/>
                              <w:szCs w:val="16"/>
                            </w:rPr>
                            <w:t>.</w:t>
                          </w:r>
                        </w:p>
                      </w:txbxContent>
                    </wps:txbx>
                    <wps:bodyPr vert="horz" wrap="square" lIns="91440" tIns="45720" rIns="91440" bIns="45720" anchor="ctr">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D0906BE" id="Rectangle 10" o:spid="_x0000_s1027" style="position:absolute;left:0;text-align:left;margin-left:-7.4pt;margin-top:-6.55pt;width:248.25pt;height:30.55pt;z-index:3;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" stroked="f">
              <v:textbox>
                <w:txbxContent>
                  <w:p w14:paraId="4E1A0561" w14:textId="77777777" w:rsidR="00C666AF" w:rsidRDefault="00000000">
                    <w:pPr>
                      <w:tabs>
                        <w:tab w:val="right" w:pos="8640"/>
                      </w:tabs>
                      <w:rPr>
                        <w:rFonts w:ascii="Book Antiqua" w:hAnsi="Book Antiqua"/>
                        <w:color w:val="002060"/>
                        <w:sz w:val="16"/>
                        <w:szCs w:val="16"/>
                      </w:rPr>
                    </w:pPr>
                    <w:r>
                      <w:rPr>
                        <w:rFonts w:ascii="Book Antiqua" w:hAnsi="Book Antiqua"/>
                        <w:color w:val="002060"/>
                        <w:sz w:val="16"/>
                        <w:szCs w:val="16"/>
                      </w:rPr>
                      <w:t>This article is licensed under a </w:t>
                    </w:r>
                    <w:hyperlink r:id="rId2" w:history="1">
                      <w:r w:rsidR="00C666AF">
                        <w:rPr>
                          <w:rStyle w:val="Hyperlink"/>
                          <w:rFonts w:ascii="Book Antiqua" w:hAnsi="Book Antiqua"/>
                          <w:sz w:val="16"/>
                          <w:szCs w:val="16"/>
                        </w:rPr>
                        <w:t>Creative Commons Attribution 4.0 International License</w:t>
                      </w:r>
                    </w:hyperlink>
                    <w:r>
                      <w:rPr>
                        <w:rFonts w:ascii="Book Antiqua" w:hAnsi="Book Antiqua"/>
                        <w:color w:val="002060"/>
                        <w:sz w:val="16"/>
                        <w:szCs w:val="16"/>
                      </w:rPr>
                      <w:t>.</w:t>
                    </w:r>
                  </w:p>
                </w:txbxContent>
              </v:textbox>
            </v:rect>
          </w:pict>
        </mc:Fallback>
      </mc:AlternateContent>
    </w:r>
    <w:r>
      <w:rPr>
        <w:sz w:val="16"/>
      </w:rPr>
      <w:t>© 20</w:t>
    </w:r>
    <w:r w:rsidR="00F1618F">
      <w:rPr>
        <w:sz w:val="16"/>
      </w:rPr>
      <w:t>25</w:t>
    </w:r>
    <w:r>
      <w:rPr>
        <w:sz w:val="16"/>
      </w:rPr>
      <w:t xml:space="preserve"> The Author(s). This article is open access</w:t>
    </w:r>
  </w:p>
  <w:p w14:paraId="574D2A56" w14:textId="77777777" w:rsidR="00C666AF" w:rsidRDefault="00C666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411260" w14:textId="77777777" w:rsidR="00B16395" w:rsidRDefault="00B16395">
      <w:r>
        <w:separator/>
      </w:r>
    </w:p>
  </w:footnote>
  <w:footnote w:type="continuationSeparator" w:id="0">
    <w:p w14:paraId="7EDD9D17" w14:textId="77777777" w:rsidR="00B16395" w:rsidRDefault="00B16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867B0" w14:textId="6B864E1C" w:rsidR="00ED090B" w:rsidRPr="00F1128C" w:rsidRDefault="00ED090B" w:rsidP="00ED090B">
    <w:pPr>
      <w:pStyle w:val="Header"/>
      <w:rPr>
        <w:b/>
        <w:bCs/>
        <w:sz w:val="16"/>
        <w:szCs w:val="16"/>
        <w:lang w:val="id-ID"/>
      </w:rPr>
    </w:pPr>
    <w:bookmarkStart w:id="0" w:name="_Hlk149677610"/>
    <w:bookmarkStart w:id="1" w:name="_Hlk149677611"/>
    <w:bookmarkStart w:id="2" w:name="_Hlk149679760"/>
    <w:bookmarkStart w:id="3" w:name="_Hlk149679761"/>
    <w:bookmarkStart w:id="4" w:name="_Hlk149680472"/>
    <w:bookmarkStart w:id="5" w:name="_Hlk149680473"/>
    <w:bookmarkStart w:id="6" w:name="_Hlk149681006"/>
    <w:bookmarkStart w:id="7" w:name="_Hlk149681007"/>
    <w:bookmarkStart w:id="8" w:name="_Hlk149682151"/>
    <w:bookmarkStart w:id="9" w:name="_Hlk149682152"/>
    <w:bookmarkStart w:id="10" w:name="_Hlk149683077"/>
    <w:bookmarkStart w:id="11" w:name="_Hlk149683078"/>
    <w:bookmarkStart w:id="12" w:name="_Hlk156633493"/>
    <w:bookmarkStart w:id="13" w:name="_Hlk156633494"/>
    <w:bookmarkStart w:id="14" w:name="_Hlk159445769"/>
    <w:bookmarkStart w:id="15" w:name="_Hlk159445770"/>
    <w:bookmarkStart w:id="16" w:name="_Hlk168582565"/>
    <w:bookmarkStart w:id="17" w:name="_Hlk168582566"/>
    <w:bookmarkStart w:id="18" w:name="_Hlk171357600"/>
    <w:bookmarkStart w:id="19" w:name="_Hlk171357601"/>
    <w:bookmarkStart w:id="20" w:name="_Hlk173478870"/>
    <w:bookmarkStart w:id="21" w:name="_Hlk173478871"/>
    <w:bookmarkStart w:id="22" w:name="_Hlk173482907"/>
    <w:bookmarkStart w:id="23" w:name="_Hlk173482908"/>
    <w:bookmarkStart w:id="24" w:name="_Hlk178664624"/>
    <w:bookmarkStart w:id="25" w:name="_Hlk178664625"/>
    <w:bookmarkStart w:id="26" w:name="_Hlk178665674"/>
    <w:bookmarkStart w:id="27" w:name="_Hlk178665675"/>
    <w:bookmarkStart w:id="28" w:name="_Hlk178829591"/>
    <w:bookmarkStart w:id="29" w:name="_Hlk178829592"/>
    <w:bookmarkStart w:id="30" w:name="_Hlk178829745"/>
    <w:bookmarkStart w:id="31" w:name="_Hlk178829746"/>
    <w:bookmarkStart w:id="32" w:name="_Hlk178829936"/>
    <w:bookmarkStart w:id="33" w:name="_Hlk178829937"/>
    <w:bookmarkStart w:id="34" w:name="_Hlk178857304"/>
    <w:bookmarkStart w:id="35" w:name="_Hlk178857305"/>
    <w:bookmarkStart w:id="36" w:name="_Hlk178872789"/>
    <w:bookmarkStart w:id="37" w:name="_Hlk178872790"/>
    <w:bookmarkStart w:id="38" w:name="_Hlk178913078"/>
    <w:bookmarkStart w:id="39" w:name="_Hlk178913079"/>
    <w:bookmarkStart w:id="40" w:name="_Hlk184022783"/>
    <w:bookmarkStart w:id="41" w:name="_Hlk184022784"/>
    <w:bookmarkStart w:id="42" w:name="_Hlk184022907"/>
    <w:bookmarkStart w:id="43" w:name="_Hlk184022908"/>
    <w:bookmarkStart w:id="44" w:name="_Hlk185174194"/>
    <w:bookmarkStart w:id="45" w:name="_Hlk185174195"/>
    <w:bookmarkStart w:id="46" w:name="_Hlk185183938"/>
    <w:bookmarkStart w:id="47" w:name="_Hlk185183939"/>
    <w:bookmarkStart w:id="48" w:name="_Hlk185250694"/>
    <w:bookmarkStart w:id="49" w:name="_Hlk185250695"/>
    <w:bookmarkStart w:id="50" w:name="_Hlk185251725"/>
    <w:bookmarkStart w:id="51" w:name="_Hlk185251726"/>
    <w:bookmarkStart w:id="52" w:name="_Hlk185253343"/>
    <w:bookmarkStart w:id="53" w:name="_Hlk185253344"/>
    <w:r>
      <w:rPr>
        <w:b/>
        <w:bCs/>
        <w:sz w:val="16"/>
        <w:szCs w:val="16"/>
        <w:lang w:val="id-ID"/>
      </w:rPr>
      <w:t>Sulastri</w:t>
    </w:r>
    <w:r>
      <w:rPr>
        <w:b/>
        <w:bCs/>
        <w:sz w:val="16"/>
        <w:szCs w:val="16"/>
        <w:lang w:val="id-ID"/>
      </w:rPr>
      <w:t xml:space="preserve"> </w:t>
    </w:r>
    <w:r>
      <w:rPr>
        <w:i/>
        <w:iCs/>
        <w:sz w:val="16"/>
        <w:szCs w:val="16"/>
        <w:lang w:val="id-ID"/>
      </w:rPr>
      <w:t>et al.</w:t>
    </w:r>
    <w:r w:rsidRPr="00F1128C">
      <w:rPr>
        <w:i/>
        <w:iCs/>
        <w:sz w:val="16"/>
        <w:szCs w:val="16"/>
        <w:lang w:val="id-ID"/>
      </w:rPr>
      <w:t>,</w:t>
    </w:r>
    <w:r w:rsidRPr="00F1128C">
      <w:rPr>
        <w:sz w:val="16"/>
        <w:szCs w:val="16"/>
      </w:rPr>
      <w:t xml:space="preserve"> </w:t>
    </w:r>
    <w:r w:rsidRPr="00F1128C">
      <w:rPr>
        <w:bCs/>
        <w:sz w:val="16"/>
        <w:szCs w:val="16"/>
      </w:rPr>
      <w:t>(2025).</w:t>
    </w:r>
    <w:r w:rsidRPr="00F1128C">
      <w:rPr>
        <w:b/>
        <w:bCs/>
        <w:sz w:val="16"/>
        <w:szCs w:val="16"/>
      </w:rPr>
      <w:t xml:space="preserve"> Jurnal Biologi Tropis</w:t>
    </w:r>
    <w:r w:rsidRPr="00F1128C">
      <w:rPr>
        <w:b/>
        <w:bCs/>
        <w:i/>
        <w:iCs/>
        <w:sz w:val="16"/>
        <w:szCs w:val="16"/>
      </w:rPr>
      <w:t>,</w:t>
    </w:r>
    <w:r w:rsidRPr="00F1128C">
      <w:rPr>
        <w:b/>
        <w:bCs/>
        <w:sz w:val="16"/>
        <w:szCs w:val="16"/>
      </w:rPr>
      <w:t xml:space="preserve"> </w:t>
    </w:r>
    <w:r w:rsidRPr="00F1128C">
      <w:rPr>
        <w:sz w:val="16"/>
        <w:szCs w:val="16"/>
      </w:rPr>
      <w:t>2</w:t>
    </w:r>
    <w:r w:rsidRPr="00F1128C">
      <w:rPr>
        <w:sz w:val="16"/>
        <w:szCs w:val="16"/>
        <w:lang w:val="id-ID"/>
      </w:rPr>
      <w:t xml:space="preserve">5 </w:t>
    </w:r>
    <w:r w:rsidRPr="00F1128C">
      <w:rPr>
        <w:sz w:val="16"/>
        <w:szCs w:val="16"/>
      </w:rPr>
      <w:t xml:space="preserve">(2): </w:t>
    </w:r>
    <w:r w:rsidR="00696F48">
      <w:rPr>
        <w:sz w:val="16"/>
        <w:szCs w:val="16"/>
      </w:rPr>
      <w:t>1440</w:t>
    </w:r>
    <w:r w:rsidRPr="00F1128C">
      <w:rPr>
        <w:sz w:val="16"/>
        <w:szCs w:val="16"/>
      </w:rPr>
      <w:t xml:space="preserve"> –</w:t>
    </w:r>
    <w:r w:rsidRPr="00F1128C">
      <w:rPr>
        <w:sz w:val="16"/>
        <w:szCs w:val="16"/>
        <w:lang w:val="id-ID"/>
      </w:rPr>
      <w:t xml:space="preserve"> 1</w:t>
    </w:r>
    <w:r w:rsidR="00696F48">
      <w:rPr>
        <w:sz w:val="16"/>
        <w:szCs w:val="16"/>
        <w:lang w:val="id-ID"/>
      </w:rPr>
      <w:t>445</w:t>
    </w:r>
  </w:p>
  <w:p w14:paraId="090E7341" w14:textId="55D12C7D" w:rsidR="00ED090B" w:rsidRDefault="00ED090B" w:rsidP="00ED090B">
    <w:pPr>
      <w:pStyle w:val="Header"/>
      <w:rPr>
        <w:b/>
        <w:bCs/>
        <w:sz w:val="16"/>
        <w:szCs w:val="16"/>
      </w:rPr>
    </w:pPr>
    <w:r w:rsidRPr="00F1128C">
      <w:rPr>
        <w:noProof/>
        <w:sz w:val="16"/>
        <w:szCs w:val="16"/>
      </w:rPr>
      <mc:AlternateContent>
        <mc:Choice Requires="wps">
          <w:drawing>
            <wp:anchor distT="4294967292" distB="4294967292" distL="114300" distR="114300" simplePos="0" relativeHeight="251659264" behindDoc="0" locked="0" layoutInCell="1" allowOverlap="1" wp14:anchorId="59A479E4" wp14:editId="15E5119C">
              <wp:simplePos x="0" y="0"/>
              <wp:positionH relativeFrom="column">
                <wp:posOffset>15240</wp:posOffset>
              </wp:positionH>
              <wp:positionV relativeFrom="paragraph">
                <wp:posOffset>234315</wp:posOffset>
              </wp:positionV>
              <wp:extent cx="5648325" cy="0"/>
              <wp:effectExtent l="38100" t="38100" r="66675" b="95250"/>
              <wp:wrapNone/>
              <wp:docPr id="44746847"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648325" cy="0"/>
                      </a:xfrm>
                      <a:prstGeom prst="line">
                        <a:avLst/>
                      </a:prstGeom>
                      <a:noFill/>
                      <a:ln w="158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w:pict>
            <v:line w14:anchorId="3D8C4339" id="Straight Connector 3"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2pt,18.45pt" to="445.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" strokecolor="windowText" strokeweight="1.25pt">
              <v:shadow on="t" color="black" opacity="24903f" origin=",.5" offset="0,.55556mm"/>
              <o:lock v:ext="edit" shapetype="f"/>
            </v:line>
          </w:pict>
        </mc:Fallback>
      </mc:AlternateContent>
    </w:r>
    <w:r w:rsidRPr="00F1128C">
      <w:rPr>
        <w:b/>
        <w:bCs/>
        <w:sz w:val="16"/>
        <w:szCs w:val="16"/>
        <w:lang w:val="en-ID"/>
      </w:rPr>
      <w:t xml:space="preserve">DOI: </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r w:rsidR="00696F48">
      <w:rPr>
        <w:b/>
        <w:bCs/>
        <w:sz w:val="16"/>
        <w:szCs w:val="16"/>
      </w:rPr>
      <w:fldChar w:fldCharType="begin"/>
    </w:r>
    <w:r w:rsidR="00696F48">
      <w:rPr>
        <w:b/>
        <w:bCs/>
        <w:sz w:val="16"/>
        <w:szCs w:val="16"/>
      </w:rPr>
      <w:instrText>HYPERLINK "</w:instrText>
    </w:r>
    <w:r w:rsidR="00696F48" w:rsidRPr="00696F48">
      <w:rPr>
        <w:b/>
        <w:bCs/>
        <w:sz w:val="16"/>
        <w:szCs w:val="16"/>
      </w:rPr>
      <w:instrText>http://doi.org/10.29303/jbt.v2</w:instrText>
    </w:r>
    <w:r w:rsidR="00696F48" w:rsidRPr="00696F48">
      <w:rPr>
        <w:b/>
        <w:bCs/>
        <w:sz w:val="16"/>
        <w:szCs w:val="16"/>
        <w:lang w:val="id-ID"/>
      </w:rPr>
      <w:instrText>5</w:instrText>
    </w:r>
    <w:r w:rsidR="00696F48" w:rsidRPr="00696F48">
      <w:rPr>
        <w:b/>
        <w:bCs/>
        <w:sz w:val="16"/>
        <w:szCs w:val="16"/>
      </w:rPr>
      <w:instrText>i2.86</w:instrText>
    </w:r>
    <w:r w:rsidR="00696F48" w:rsidRPr="00696F48">
      <w:rPr>
        <w:b/>
        <w:bCs/>
        <w:sz w:val="16"/>
        <w:szCs w:val="16"/>
      </w:rPr>
      <w:instrText>99</w:instrText>
    </w:r>
    <w:r w:rsidR="00696F48">
      <w:rPr>
        <w:b/>
        <w:bCs/>
        <w:sz w:val="16"/>
        <w:szCs w:val="16"/>
      </w:rPr>
      <w:instrText>"</w:instrText>
    </w:r>
    <w:r w:rsidR="00696F48">
      <w:rPr>
        <w:b/>
        <w:bCs/>
        <w:sz w:val="16"/>
        <w:szCs w:val="16"/>
      </w:rPr>
      <w:fldChar w:fldCharType="separate"/>
    </w:r>
    <w:r w:rsidR="00696F48" w:rsidRPr="00DA45B7">
      <w:rPr>
        <w:rStyle w:val="Hyperlink"/>
        <w:b/>
        <w:bCs/>
        <w:sz w:val="16"/>
        <w:szCs w:val="16"/>
      </w:rPr>
      <w:t>http://doi.org/10.29303/jbt.v2</w:t>
    </w:r>
    <w:r w:rsidR="00696F48" w:rsidRPr="00DA45B7">
      <w:rPr>
        <w:rStyle w:val="Hyperlink"/>
        <w:b/>
        <w:bCs/>
        <w:sz w:val="16"/>
        <w:szCs w:val="16"/>
        <w:lang w:val="id-ID"/>
      </w:rPr>
      <w:t>5</w:t>
    </w:r>
    <w:r w:rsidR="00696F48" w:rsidRPr="00DA45B7">
      <w:rPr>
        <w:rStyle w:val="Hyperlink"/>
        <w:b/>
        <w:bCs/>
        <w:sz w:val="16"/>
        <w:szCs w:val="16"/>
      </w:rPr>
      <w:t>i2.86</w:t>
    </w:r>
    <w:r w:rsidR="00696F48" w:rsidRPr="00DA45B7">
      <w:rPr>
        <w:rStyle w:val="Hyperlink"/>
        <w:b/>
        <w:bCs/>
        <w:sz w:val="16"/>
        <w:szCs w:val="16"/>
      </w:rPr>
      <w:t>99</w:t>
    </w:r>
    <w:r w:rsidR="00696F48">
      <w:rPr>
        <w:b/>
        <w:bCs/>
        <w:sz w:val="16"/>
        <w:szCs w:val="16"/>
      </w:rPr>
      <w:fldChar w:fldCharType="end"/>
    </w:r>
  </w:p>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p w14:paraId="0A682D74" w14:textId="77777777" w:rsidR="00ED090B" w:rsidRPr="00F1128C" w:rsidRDefault="00ED090B" w:rsidP="00ED090B">
    <w:pPr>
      <w:pStyle w:val="Heade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7D6FC" w14:textId="77777777" w:rsidR="00C666AF" w:rsidRDefault="00000000">
    <w:pPr>
      <w:pStyle w:val="Header"/>
      <w:tabs>
        <w:tab w:val="left" w:pos="7566"/>
        <w:tab w:val="right" w:pos="9020"/>
      </w:tabs>
    </w:pPr>
    <w:r>
      <w:rPr>
        <w:noProof/>
      </w:rPr>
      <mc:AlternateContent>
        <mc:Choice Requires="wps">
          <w:drawing>
            <wp:anchor distT="0" distB="0" distL="0" distR="0" simplePos="0" relativeHeight="2" behindDoc="0" locked="0" layoutInCell="1" allowOverlap="1" wp14:anchorId="5D3AC249" wp14:editId="323C43FD">
              <wp:simplePos x="0" y="0"/>
              <wp:positionH relativeFrom="column">
                <wp:posOffset>0</wp:posOffset>
              </wp:positionH>
              <wp:positionV relativeFrom="paragraph">
                <wp:posOffset>-113665</wp:posOffset>
              </wp:positionV>
              <wp:extent cx="6098540" cy="457200"/>
              <wp:effectExtent l="0" t="0" r="0" b="0"/>
              <wp:wrapNone/>
              <wp:docPr id="409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8540" cy="457200"/>
                      </a:xfrm>
                      <a:prstGeom prst="rect">
                        <a:avLst/>
                      </a:prstGeom>
                      <a:solidFill>
                        <a:srgbClr val="1F497D"/>
                      </a:solidFill>
                      <a:ln>
                        <a:noFill/>
                      </a:ln>
                    </wps:spPr>
                    <wps:txbx>
                      <w:txbxContent>
                        <w:p w14:paraId="40568AA3" w14:textId="77777777" w:rsidR="00C666AF" w:rsidRDefault="00000000">
                          <w:pPr>
                            <w:ind w:right="136"/>
                            <w:jc w:val="right"/>
                            <w:rPr>
                              <w:i/>
                              <w:color w:val="FFFFFF"/>
                            </w:rPr>
                          </w:pPr>
                          <w:r>
                            <w:rPr>
                              <w:i/>
                              <w:color w:val="FFFFFF"/>
                              <w:sz w:val="28"/>
                            </w:rPr>
                            <w:t>Jurnal Biologi Tropis</w:t>
                          </w:r>
                        </w:p>
                      </w:txbxContent>
                    </wps:txbx>
                    <wps:bodyPr vert="horz" wrap="square" lIns="91440" tIns="45720" rIns="91440" bIns="45720" anchor="ctr" upright="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AC249" id="Rectangle 4" o:spid="_x0000_s1026" style="position:absolute;margin-left:0;margin-top:-8.95pt;width:480.2pt;height:36pt;z-index: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" fillcolor="#1f497d" stroked="f">
              <v:textbox>
                <w:txbxContent>
                  <w:p w14:paraId="40568AA3" w14:textId="77777777" w:rsidR="00C666AF" w:rsidRDefault="00000000">
                    <w:pPr>
                      <w:ind w:right="136"/>
                      <w:jc w:val="right"/>
                      <w:rPr>
                        <w:i/>
                        <w:color w:val="FFFFFF"/>
                      </w:rPr>
                    </w:pPr>
                    <w:r>
                      <w:rPr>
                        <w:i/>
                        <w:color w:val="FFFFFF"/>
                        <w:sz w:val="28"/>
                      </w:rPr>
                      <w:t>Jurnal Biologi Tropis</w:t>
                    </w:r>
                  </w:p>
                </w:txbxContent>
              </v:textbox>
            </v:rect>
          </w:pict>
        </mc:Fallback>
      </mc:AlternateContent>
    </w:r>
    <w:r>
      <w:tab/>
    </w:r>
    <w:r>
      <w:tab/>
    </w:r>
  </w:p>
  <w:p w14:paraId="53115499" w14:textId="77777777" w:rsidR="00C666AF" w:rsidRDefault="00000000">
    <w:pPr>
      <w:pStyle w:val="Header"/>
      <w:tabs>
        <w:tab w:val="left" w:pos="7566"/>
        <w:tab w:val="right" w:pos="9020"/>
      </w:tabs>
      <w:rPr>
        <w:rFonts w:ascii="Avenir Black" w:hAnsi="Avenir Black"/>
      </w:rPr>
    </w:pP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34D4FC16"/>
    <w:lvl w:ilvl="0" w:tplc="E5BE2B0E">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0000002"/>
    <w:multiLevelType w:val="hybridMultilevel"/>
    <w:tmpl w:val="4EFC8F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0000003"/>
    <w:multiLevelType w:val="multilevel"/>
    <w:tmpl w:val="3E58151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44BE5CD5"/>
    <w:multiLevelType w:val="multilevel"/>
    <w:tmpl w:val="894EE87A"/>
    <w:lvl w:ilvl="0">
      <w:start w:val="1"/>
      <w:numFmt w:val="lowerLetter"/>
      <w:lvlText w:val="%1."/>
      <w:lvlJc w:val="left"/>
      <w:pPr>
        <w:tabs>
          <w:tab w:val="left" w:pos="360"/>
        </w:tabs>
        <w:ind w:left="360" w:firstLine="360"/>
      </w:pPr>
      <w:rPr>
        <w:rFonts w:hint="default"/>
        <w:color w:val="000000"/>
        <w:position w:val="0"/>
        <w:sz w:val="20"/>
      </w:rPr>
    </w:lvl>
    <w:lvl w:ilvl="1">
      <w:start w:val="1"/>
      <w:numFmt w:val="lowerLetter"/>
      <w:lvlText w:val="%2."/>
      <w:lvlJc w:val="left"/>
      <w:pPr>
        <w:tabs>
          <w:tab w:val="left" w:pos="360"/>
        </w:tabs>
        <w:ind w:left="360" w:firstLine="1080"/>
      </w:pPr>
      <w:rPr>
        <w:rFonts w:hint="default"/>
        <w:color w:val="000000"/>
        <w:position w:val="0"/>
        <w:sz w:val="20"/>
      </w:rPr>
    </w:lvl>
    <w:lvl w:ilvl="2">
      <w:start w:val="1"/>
      <w:numFmt w:val="lowerRoman"/>
      <w:lvlText w:val="%3."/>
      <w:lvlJc w:val="left"/>
      <w:pPr>
        <w:tabs>
          <w:tab w:val="left" w:pos="340"/>
        </w:tabs>
        <w:ind w:left="340" w:firstLine="1820"/>
      </w:pPr>
      <w:rPr>
        <w:rFonts w:hint="default"/>
        <w:color w:val="000000"/>
        <w:position w:val="0"/>
        <w:sz w:val="20"/>
      </w:rPr>
    </w:lvl>
    <w:lvl w:ilvl="3">
      <w:start w:val="1"/>
      <w:numFmt w:val="decimal"/>
      <w:isLgl/>
      <w:lvlText w:val="%4."/>
      <w:lvlJc w:val="left"/>
      <w:pPr>
        <w:tabs>
          <w:tab w:val="left" w:pos="360"/>
        </w:tabs>
        <w:ind w:left="360" w:firstLine="2520"/>
      </w:pPr>
      <w:rPr>
        <w:rFonts w:hint="default"/>
        <w:color w:val="000000"/>
        <w:position w:val="0"/>
        <w:sz w:val="20"/>
      </w:rPr>
    </w:lvl>
    <w:lvl w:ilvl="4">
      <w:start w:val="1"/>
      <w:numFmt w:val="lowerLetter"/>
      <w:lvlText w:val="%5."/>
      <w:lvlJc w:val="left"/>
      <w:pPr>
        <w:tabs>
          <w:tab w:val="left" w:pos="360"/>
        </w:tabs>
        <w:ind w:left="360" w:firstLine="3240"/>
      </w:pPr>
      <w:rPr>
        <w:rFonts w:hint="default"/>
        <w:color w:val="000000"/>
        <w:position w:val="0"/>
        <w:sz w:val="20"/>
      </w:rPr>
    </w:lvl>
    <w:lvl w:ilvl="5">
      <w:start w:val="1"/>
      <w:numFmt w:val="lowerRoman"/>
      <w:lvlText w:val="%6."/>
      <w:lvlJc w:val="left"/>
      <w:pPr>
        <w:tabs>
          <w:tab w:val="left" w:pos="340"/>
        </w:tabs>
        <w:ind w:left="340" w:firstLine="3980"/>
      </w:pPr>
      <w:rPr>
        <w:rFonts w:hint="default"/>
        <w:color w:val="000000"/>
        <w:position w:val="0"/>
        <w:sz w:val="20"/>
      </w:rPr>
    </w:lvl>
    <w:lvl w:ilvl="6">
      <w:start w:val="1"/>
      <w:numFmt w:val="decimal"/>
      <w:isLgl/>
      <w:lvlText w:val="%7."/>
      <w:lvlJc w:val="left"/>
      <w:pPr>
        <w:tabs>
          <w:tab w:val="left" w:pos="360"/>
        </w:tabs>
        <w:ind w:left="360" w:firstLine="4680"/>
      </w:pPr>
      <w:rPr>
        <w:rFonts w:hint="default"/>
        <w:color w:val="000000"/>
        <w:position w:val="0"/>
        <w:sz w:val="20"/>
      </w:rPr>
    </w:lvl>
    <w:lvl w:ilvl="7">
      <w:start w:val="1"/>
      <w:numFmt w:val="lowerLetter"/>
      <w:lvlText w:val="%8."/>
      <w:lvlJc w:val="left"/>
      <w:pPr>
        <w:tabs>
          <w:tab w:val="left" w:pos="360"/>
        </w:tabs>
        <w:ind w:left="360" w:firstLine="5400"/>
      </w:pPr>
      <w:rPr>
        <w:rFonts w:hint="default"/>
        <w:color w:val="000000"/>
        <w:position w:val="0"/>
        <w:sz w:val="20"/>
      </w:rPr>
    </w:lvl>
    <w:lvl w:ilvl="8">
      <w:start w:val="1"/>
      <w:numFmt w:val="lowerRoman"/>
      <w:lvlText w:val="%9."/>
      <w:lvlJc w:val="left"/>
      <w:pPr>
        <w:tabs>
          <w:tab w:val="left" w:pos="340"/>
        </w:tabs>
        <w:ind w:left="340" w:firstLine="6140"/>
      </w:pPr>
      <w:rPr>
        <w:rFonts w:hint="default"/>
        <w:color w:val="000000"/>
        <w:position w:val="0"/>
        <w:sz w:val="20"/>
      </w:rPr>
    </w:lvl>
  </w:abstractNum>
  <w:num w:numId="1" w16cid:durableId="743725565">
    <w:abstractNumId w:val="3"/>
  </w:num>
  <w:num w:numId="2" w16cid:durableId="943421068">
    <w:abstractNumId w:val="0"/>
  </w:num>
  <w:num w:numId="3" w16cid:durableId="2128154537">
    <w:abstractNumId w:val="2"/>
  </w:num>
  <w:num w:numId="4" w16cid:durableId="6681433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66AF"/>
    <w:rsid w:val="00030149"/>
    <w:rsid w:val="00047FFC"/>
    <w:rsid w:val="000542A0"/>
    <w:rsid w:val="00087362"/>
    <w:rsid w:val="000D7034"/>
    <w:rsid w:val="00264F44"/>
    <w:rsid w:val="00291420"/>
    <w:rsid w:val="002A1EF5"/>
    <w:rsid w:val="002B3383"/>
    <w:rsid w:val="002C5189"/>
    <w:rsid w:val="00446998"/>
    <w:rsid w:val="00471809"/>
    <w:rsid w:val="00562EB5"/>
    <w:rsid w:val="00696F48"/>
    <w:rsid w:val="006D5044"/>
    <w:rsid w:val="006D62C7"/>
    <w:rsid w:val="00781948"/>
    <w:rsid w:val="00781C75"/>
    <w:rsid w:val="007C355D"/>
    <w:rsid w:val="007E3B35"/>
    <w:rsid w:val="008B08C0"/>
    <w:rsid w:val="00A5161B"/>
    <w:rsid w:val="00A94B85"/>
    <w:rsid w:val="00AA4601"/>
    <w:rsid w:val="00AF5AE6"/>
    <w:rsid w:val="00B04E91"/>
    <w:rsid w:val="00B16395"/>
    <w:rsid w:val="00B51C4F"/>
    <w:rsid w:val="00B6287B"/>
    <w:rsid w:val="00B95A5D"/>
    <w:rsid w:val="00BA7098"/>
    <w:rsid w:val="00BC3C4B"/>
    <w:rsid w:val="00BD1EBB"/>
    <w:rsid w:val="00BD1FC5"/>
    <w:rsid w:val="00C64289"/>
    <w:rsid w:val="00C666AF"/>
    <w:rsid w:val="00C738FE"/>
    <w:rsid w:val="00DB0452"/>
    <w:rsid w:val="00E23F69"/>
    <w:rsid w:val="00EB760A"/>
    <w:rsid w:val="00ED090B"/>
    <w:rsid w:val="00F1618F"/>
    <w:rsid w:val="00F82235"/>
    <w:rsid w:val="00F957AE"/>
    <w:rsid w:val="00FA47B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D5E7AA1"/>
  <w15:docId w15:val="{3A67882F-CEEA-43CC-A55F-19FE9B4B3F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pPr>
      <w:tabs>
        <w:tab w:val="center" w:pos="4320"/>
        <w:tab w:val="right" w:pos="8640"/>
      </w:tabs>
    </w:pPr>
  </w:style>
  <w:style w:type="character" w:customStyle="1" w:styleId="HeaderChar">
    <w:name w:val="Header Char"/>
    <w:basedOn w:val="DefaultParagraphFont"/>
    <w:link w:val="Header"/>
    <w:uiPriority w:val="99"/>
    <w:qFormat/>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rPr>
      <w:rFonts w:ascii="Lucida Grande" w:hAnsi="Lucida Grande"/>
      <w:sz w:val="18"/>
      <w:szCs w:val="18"/>
    </w:rPr>
  </w:style>
  <w:style w:type="character" w:customStyle="1" w:styleId="BalloonTextChar">
    <w:name w:val="Balloon Text Char"/>
    <w:link w:val="BalloonText"/>
    <w:uiPriority w:val="99"/>
    <w:rPr>
      <w:rFonts w:ascii="Lucida Grande" w:hAnsi="Lucida Grande" w:cs="Lucida Grande"/>
      <w:sz w:val="18"/>
      <w:szCs w:val="18"/>
    </w:rPr>
  </w:style>
  <w:style w:type="paragraph" w:styleId="FootnoteText">
    <w:name w:val="footnote text"/>
    <w:basedOn w:val="Normal"/>
    <w:link w:val="FootnoteTextChar"/>
    <w:uiPriority w:val="99"/>
  </w:style>
  <w:style w:type="character" w:customStyle="1" w:styleId="FootnoteTextChar">
    <w:name w:val="Footnote Text Char"/>
    <w:basedOn w:val="DefaultParagraphFont"/>
    <w:link w:val="FootnoteText"/>
    <w:uiPriority w:val="99"/>
  </w:style>
  <w:style w:type="character" w:styleId="FootnoteReference">
    <w:name w:val="footnote reference"/>
    <w:uiPriority w:val="99"/>
    <w:rPr>
      <w:vertAlign w:val="superscript"/>
    </w:rPr>
  </w:style>
  <w:style w:type="character" w:styleId="PageNumber">
    <w:name w:val="page number"/>
  </w:style>
  <w:style w:type="character" w:styleId="Hyperlink">
    <w:name w:val="Hyperlink"/>
    <w:uiPriority w:val="99"/>
    <w:qFormat/>
    <w:rPr>
      <w:color w:val="0000FF"/>
      <w:u w:val="single"/>
    </w:rPr>
  </w:style>
  <w:style w:type="paragraph" w:customStyle="1" w:styleId="BodyText1">
    <w:name w:val="Body Text1"/>
    <w:pPr>
      <w:spacing w:after="120" w:line="228" w:lineRule="auto"/>
      <w:ind w:firstLine="288"/>
      <w:jc w:val="both"/>
    </w:pPr>
    <w:rPr>
      <w:rFonts w:eastAsia="ヒラギノ角ゴ Pro W3"/>
      <w:color w:val="000000"/>
      <w:spacing w:val="-1"/>
    </w:rPr>
  </w:style>
  <w:style w:type="paragraph" w:customStyle="1" w:styleId="FreeForm">
    <w:name w:val="Free Form"/>
    <w:rPr>
      <w:rFonts w:eastAsia="ヒラギノ角ゴ Pro W3"/>
      <w:color w:val="000000"/>
      <w:lang w:val="en-AU"/>
    </w:rPr>
  </w:style>
  <w:style w:type="paragraph" w:customStyle="1" w:styleId="D-Table">
    <w:name w:val="D-Table"/>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pPr>
      <w:jc w:val="center"/>
    </w:pPr>
    <w:rPr>
      <w:rFonts w:ascii="Times New Roman Bold" w:eastAsia="ヒラギノ角ゴ Pro W3" w:hAnsi="Times New Roman Bold"/>
      <w:color w:val="000000"/>
      <w:sz w:val="16"/>
    </w:rPr>
  </w:style>
  <w:style w:type="paragraph" w:customStyle="1" w:styleId="tablecolsubhead">
    <w:name w:val="table col subhead"/>
    <w:pPr>
      <w:jc w:val="center"/>
    </w:pPr>
    <w:rPr>
      <w:rFonts w:ascii="Times New Roman Bold Italic" w:eastAsia="ヒラギノ角ゴ Pro W3" w:hAnsi="Times New Roman Bold Italic"/>
      <w:color w:val="000000"/>
      <w:sz w:val="15"/>
    </w:rPr>
  </w:style>
  <w:style w:type="paragraph" w:customStyle="1" w:styleId="tablecopy">
    <w:name w:val="table copy"/>
    <w:pPr>
      <w:jc w:val="both"/>
    </w:pPr>
    <w:rPr>
      <w:rFonts w:eastAsia="ヒラギノ角ゴ Pro W3"/>
      <w:color w:val="000000"/>
      <w:sz w:val="16"/>
    </w:rPr>
  </w:style>
  <w:style w:type="paragraph" w:customStyle="1" w:styleId="tablefootnote">
    <w:name w:val="table footnote"/>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pPr>
      <w:ind w:left="720"/>
      <w:contextualSpacing/>
    </w:pPr>
  </w:style>
  <w:style w:type="paragraph" w:styleId="EndnoteText">
    <w:name w:val="endnote text"/>
    <w:basedOn w:val="Normal"/>
    <w:link w:val="EndnoteTextChar"/>
    <w:uiPriority w:val="99"/>
  </w:style>
  <w:style w:type="character" w:customStyle="1" w:styleId="EndnoteTextChar">
    <w:name w:val="Endnote Text Char"/>
    <w:basedOn w:val="DefaultParagraphFont"/>
    <w:link w:val="EndnoteText"/>
    <w:uiPriority w:val="99"/>
  </w:style>
  <w:style w:type="character" w:styleId="EndnoteReference">
    <w:name w:val="endnote reference"/>
    <w:uiPriority w:val="99"/>
    <w:rPr>
      <w:vertAlign w:val="superscript"/>
    </w:rPr>
  </w:style>
  <w:style w:type="paragraph" w:customStyle="1" w:styleId="Abstract">
    <w:name w:val="Abstract"/>
    <w:link w:val="AbstractChar"/>
    <w:pPr>
      <w:spacing w:after="200"/>
      <w:jc w:val="both"/>
    </w:pPr>
    <w:rPr>
      <w:rFonts w:eastAsia="SimSun"/>
      <w:b/>
      <w:bCs/>
      <w:sz w:val="18"/>
      <w:szCs w:val="18"/>
    </w:rPr>
  </w:style>
  <w:style w:type="paragraph" w:customStyle="1" w:styleId="StyleAbstractItalic">
    <w:name w:val="Style Abstract + Italic"/>
    <w:basedOn w:val="Abstract"/>
    <w:link w:val="StyleAbstractItalicChar"/>
    <w:rPr>
      <w:rFonts w:eastAsia="MS Mincho"/>
      <w:i/>
      <w:iCs/>
    </w:rPr>
  </w:style>
  <w:style w:type="character" w:customStyle="1" w:styleId="AbstractChar">
    <w:name w:val="Abstract Char"/>
    <w:link w:val="Abstract"/>
    <w:rPr>
      <w:rFonts w:eastAsia="SimSun"/>
      <w:b/>
      <w:bCs/>
      <w:sz w:val="18"/>
      <w:szCs w:val="18"/>
      <w:lang w:bidi="ar-SA"/>
    </w:rPr>
  </w:style>
  <w:style w:type="character" w:customStyle="1" w:styleId="StyleAbstractItalicChar">
    <w:name w:val="Style Abstract + Italic Char"/>
    <w:link w:val="StyleAbstractItalic"/>
    <w:rPr>
      <w:b/>
      <w:bCs/>
      <w:i/>
      <w:iCs/>
      <w:sz w:val="18"/>
      <w:szCs w:val="18"/>
    </w:rPr>
  </w:style>
  <w:style w:type="paragraph" w:styleId="BodyText">
    <w:name w:val="Body Text"/>
    <w:basedOn w:val="Normal"/>
    <w:link w:val="BodyTextChar"/>
    <w:pPr>
      <w:spacing w:after="120" w:line="228" w:lineRule="auto"/>
      <w:ind w:firstLine="288"/>
      <w:jc w:val="both"/>
    </w:pPr>
    <w:rPr>
      <w:rFonts w:eastAsia="SimSun"/>
      <w:spacing w:val="-1"/>
      <w:sz w:val="20"/>
      <w:szCs w:val="20"/>
    </w:rPr>
  </w:style>
  <w:style w:type="character" w:customStyle="1" w:styleId="BodyTextChar">
    <w:name w:val="Body Text Char"/>
    <w:basedOn w:val="DefaultParagraphFont"/>
    <w:link w:val="BodyText"/>
    <w:rPr>
      <w:rFonts w:eastAsia="SimSun"/>
      <w:spacing w:val="-1"/>
    </w:rPr>
  </w:style>
  <w:style w:type="paragraph" w:styleId="ListParagraph">
    <w:name w:val="List Paragraph"/>
    <w:basedOn w:val="Normal"/>
    <w:uiPriority w:val="72"/>
    <w:qFormat/>
    <w:pPr>
      <w:ind w:left="720"/>
      <w:contextualSpacing/>
    </w:pPr>
  </w:style>
  <w:style w:type="character" w:customStyle="1" w:styleId="SebutanYangBelumTerselesaikan1">
    <w:name w:val="Sebutan Yang Belum Terselesaikan1"/>
    <w:basedOn w:val="DefaultParagraphFont"/>
    <w:uiPriority w:val="99"/>
    <w:rPr>
      <w:color w:val="605E5C"/>
      <w:shd w:val="clear" w:color="auto" w:fill="E1DFDD"/>
    </w:rPr>
  </w:style>
  <w:style w:type="paragraph" w:styleId="Bibliography">
    <w:name w:val="Bibliography"/>
    <w:basedOn w:val="Normal"/>
    <w:next w:val="Normal"/>
    <w:uiPriority w:val="70"/>
    <w:pPr>
      <w:spacing w:line="480" w:lineRule="auto"/>
      <w:ind w:left="720" w:hanging="720"/>
    </w:p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character" w:styleId="UnresolvedMention">
    <w:name w:val="Unresolved Mention"/>
    <w:basedOn w:val="DefaultParagraphFont"/>
    <w:uiPriority w:val="99"/>
    <w:semiHidden/>
    <w:unhideWhenUsed/>
    <w:rsid w:val="00FA47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s://www.zotero.org/google-docs/?IXgkhq" TargetMode="External"/><Relationship Id="rId3" Type="http://schemas.openxmlformats.org/officeDocument/2006/relationships/customXml" Target="../customXml/item3.xml"/><Relationship Id="rId21" Type="http://schemas.openxmlformats.org/officeDocument/2006/relationships/hyperlink" Target="https://doi.org/10.13057/biodiv/d220126" TargetMode="External"/><Relationship Id="rId7" Type="http://schemas.openxmlformats.org/officeDocument/2006/relationships/styles" Target="styles.xml"/><Relationship Id="rId12" Type="http://schemas.openxmlformats.org/officeDocument/2006/relationships/hyperlink" Target="mailto:meilindapahriana@unizar.ac.id" TargetMode="External"/><Relationship Id="rId17" Type="http://schemas.openxmlformats.org/officeDocument/2006/relationships/hyperlink" Target="https://www.zotero.org/google-docs/?AC7I2D"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doi.org/10.1139/b04-057"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2" Type="http://schemas.openxmlformats.org/officeDocument/2006/relationships/hyperlink" Target="http://creativecommons.org/licenses/by/4.0/" TargetMode="External"/><Relationship Id="rId1" Type="http://schemas.openxmlformats.org/officeDocument/2006/relationships/hyperlink" Target="http://creativecommons.org/licenses/by/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cd:customData xmlns="http://www.wps.cn/android/officeDocument/2013/mofficeCustomData" xmlns:mcd="http://www.wps.cn/android/officeDocument/2013/mofficeCustomData" version="2">
  <mcd:comments/>
</mcd:customData>
</file>

<file path=customXml/item2.xml><?xml version="1.0" encoding="utf-8"?>
<mcd:customData xmlns="http://www.wps.cn/android/officeDocument/2013/mofficeCustomData" xmlns:mcd="http://www.wps.cn/android/officeDocument/2013/mofficeCustomData" version="2">
  <mcd:comments/>
</mcd:customDat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cd:customData xmlns="http://www.wps.cn/android/officeDocument/2013/mofficeCustomData" xmlns:mcd="http://www.wps.cn/android/officeDocument/2013/mofficeCustomData" version="2">
  <mcd:comments/>
</mcd:customData>
</file>

<file path=customXml/item5.xml><?xml version="1.0" encoding="utf-8"?>
<mcd:customData xmlns="http://www.wps.cn/android/officeDocument/2013/mofficeCustomData" xmlns:mcd="http://www.wps.cn/android/officeDocument/2013/mofficeCustomData" version="2">
  <mcd:comments/>
</mcd:customData>
</file>

<file path=customXml/itemProps1.xml><?xml version="1.0" encoding="utf-8"?>
<ds:datastoreItem xmlns:ds="http://schemas.openxmlformats.org/officeDocument/2006/customXml" ds:itemID="{A64B864F-9079-486D-B520-85A754AC9820}">
  <ds:schemaRefs>
    <ds:schemaRef ds:uri="http://www.wps.cn/android/officeDocument/2013/mofficeCustomData"/>
  </ds:schemaRefs>
</ds:datastoreItem>
</file>

<file path=customXml/itemProps2.xml><?xml version="1.0" encoding="utf-8"?>
<ds:datastoreItem xmlns:ds="http://schemas.openxmlformats.org/officeDocument/2006/customXml" ds:itemID="{FD2795D8-67CE-4FA6-BA53-F29C890082E1}">
  <ds:schemaRefs>
    <ds:schemaRef ds:uri="http://www.wps.cn/android/officeDocument/2013/mofficeCustomData"/>
  </ds:schemaRefs>
</ds:datastoreItem>
</file>

<file path=customXml/itemProps3.xml><?xml version="1.0" encoding="utf-8"?>
<ds:datastoreItem xmlns:ds="http://schemas.openxmlformats.org/officeDocument/2006/customXml" ds:itemID="{408C6809-6C7E-428C-A383-B1E216586D64}">
  <ds:schemaRefs>
    <ds:schemaRef ds:uri="http://schemas.openxmlformats.org/officeDocument/2006/bibliography"/>
  </ds:schemaRefs>
</ds:datastoreItem>
</file>

<file path=customXml/itemProps4.xml><?xml version="1.0" encoding="utf-8"?>
<ds:datastoreItem xmlns:ds="http://schemas.openxmlformats.org/officeDocument/2006/customXml" ds:itemID="{5660CC18-B422-46A8-A042-E863A9EF699A}">
  <ds:schemaRefs>
    <ds:schemaRef ds:uri="http://www.wps.cn/android/officeDocument/2013/mofficeCustomData"/>
  </ds:schemaRefs>
</ds:datastoreItem>
</file>

<file path=customXml/itemProps5.xml><?xml version="1.0" encoding="utf-8"?>
<ds:datastoreItem xmlns:ds="http://schemas.openxmlformats.org/officeDocument/2006/customXml" ds:itemID="{4A3A79F8-2872-428A-ADC6-D432A845B030}">
  <ds:schemaRefs>
    <ds:schemaRef ds:uri="http://www.wps.cn/android/officeDocument/2013/moffice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10632</Words>
  <Characters>60603</Characters>
  <Application>Microsoft Office Word</Application>
  <DocSecurity>0</DocSecurity>
  <Lines>505</Lines>
  <Paragraphs>142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24</cp:revision>
  <cp:lastPrinted>2018-11-14T07:29:00Z</cp:lastPrinted>
  <dcterms:created xsi:type="dcterms:W3CDTF">2025-03-17T06:37:00Z</dcterms:created>
  <dcterms:modified xsi:type="dcterms:W3CDTF">2025-04-24T07:25:00Z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zotero-version="7.0.13"&gt;&lt;session id="n67l8Wxv"/&gt;&lt;style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y fmtid="{D5CDD505-2E9C-101B-9397-08002B2CF9AE}" pid="4" name="ICV">
    <vt:lpwstr>78de25aad35341d69f959db76dec3015</vt:lpwstr>
  </property>
</Properties>
</file>