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9E30" w14:textId="77777777" w:rsidR="00C666AF" w:rsidRPr="00781948" w:rsidRDefault="00000000">
      <w:pPr>
        <w:spacing w:after="120"/>
        <w:rPr>
          <w:sz w:val="20"/>
          <w:szCs w:val="20"/>
          <w:lang w:val="id-ID"/>
        </w:rPr>
      </w:pPr>
      <w:r w:rsidRPr="00781948">
        <w:rPr>
          <w:sz w:val="20"/>
          <w:szCs w:val="20"/>
          <w:lang w:val="id-ID"/>
        </w:rPr>
        <w:t>Original Research Paper</w:t>
      </w:r>
    </w:p>
    <w:p w14:paraId="663B6489" w14:textId="77777777" w:rsidR="00C666AF" w:rsidRPr="00781948" w:rsidRDefault="00000000">
      <w:pPr>
        <w:rPr>
          <w:rFonts w:eastAsia="Times New Roman"/>
          <w:b/>
          <w:bCs/>
          <w:sz w:val="28"/>
          <w:szCs w:val="28"/>
          <w:lang w:val="id-ID"/>
        </w:rPr>
      </w:pPr>
      <w:r w:rsidRPr="00781948">
        <w:rPr>
          <w:rFonts w:eastAsia="Times New Roman"/>
          <w:b/>
          <w:bCs/>
          <w:sz w:val="28"/>
          <w:szCs w:val="28"/>
          <w:lang w:val="id-ID"/>
        </w:rPr>
        <w:t>The Diversity of Macrofungi in TWA Gunung Tunak, Central Lombok</w:t>
      </w:r>
    </w:p>
    <w:p w14:paraId="57E64AAB" w14:textId="77777777" w:rsidR="00A94B85" w:rsidRPr="00781948" w:rsidRDefault="00A94B85">
      <w:pPr>
        <w:rPr>
          <w:rFonts w:eastAsia="Times New Roman"/>
          <w:b/>
          <w:bCs/>
          <w:sz w:val="28"/>
          <w:szCs w:val="28"/>
          <w:lang w:val="id-ID"/>
        </w:rPr>
      </w:pPr>
    </w:p>
    <w:p w14:paraId="0F8CD874" w14:textId="5668E886" w:rsidR="00C666AF" w:rsidRPr="00781948" w:rsidRDefault="00000000">
      <w:pPr>
        <w:spacing w:line="280" w:lineRule="exact"/>
        <w:ind w:firstLine="720"/>
        <w:rPr>
          <w:b/>
          <w:sz w:val="22"/>
          <w:szCs w:val="22"/>
          <w:lang w:val="id-ID"/>
        </w:rPr>
      </w:pPr>
      <w:r w:rsidRPr="00781948">
        <w:rPr>
          <w:b/>
          <w:sz w:val="22"/>
          <w:szCs w:val="22"/>
          <w:lang w:val="id-ID"/>
        </w:rPr>
        <w:t>Meilinda Pahriana Sulastri</w:t>
      </w:r>
      <w:r w:rsidRPr="00781948">
        <w:rPr>
          <w:b/>
          <w:sz w:val="22"/>
          <w:szCs w:val="22"/>
          <w:vertAlign w:val="superscript"/>
          <w:lang w:val="id-ID"/>
        </w:rPr>
        <w:t>1</w:t>
      </w:r>
      <w:r w:rsidR="00AA4601" w:rsidRPr="00781948">
        <w:rPr>
          <w:b/>
          <w:sz w:val="22"/>
          <w:szCs w:val="22"/>
          <w:vertAlign w:val="superscript"/>
          <w:lang w:val="id-ID"/>
        </w:rPr>
        <w:t>*</w:t>
      </w:r>
      <w:r w:rsidRPr="00781948">
        <w:rPr>
          <w:b/>
          <w:sz w:val="22"/>
          <w:szCs w:val="22"/>
          <w:lang w:val="id-ID"/>
        </w:rPr>
        <w:t>, Arista Suci Andini</w:t>
      </w:r>
      <w:r w:rsidRPr="00781948">
        <w:rPr>
          <w:b/>
          <w:sz w:val="22"/>
          <w:szCs w:val="22"/>
          <w:vertAlign w:val="superscript"/>
          <w:lang w:val="id-ID"/>
        </w:rPr>
        <w:t>1</w:t>
      </w:r>
      <w:r w:rsidRPr="00781948">
        <w:rPr>
          <w:b/>
          <w:sz w:val="22"/>
          <w:szCs w:val="22"/>
          <w:lang w:val="id-ID"/>
        </w:rPr>
        <w:t>, Hasan Basri</w:t>
      </w:r>
      <w:r w:rsidRPr="00781948">
        <w:rPr>
          <w:b/>
          <w:sz w:val="22"/>
          <w:szCs w:val="22"/>
          <w:vertAlign w:val="superscript"/>
          <w:lang w:val="id-ID"/>
        </w:rPr>
        <w:t>1</w:t>
      </w:r>
    </w:p>
    <w:p w14:paraId="46ADA784" w14:textId="0650D830" w:rsidR="00C666AF" w:rsidRPr="00781948" w:rsidRDefault="00000000">
      <w:pPr>
        <w:ind w:left="720"/>
        <w:rPr>
          <w:sz w:val="20"/>
          <w:szCs w:val="20"/>
          <w:lang w:val="id-ID"/>
        </w:rPr>
      </w:pPr>
      <w:r w:rsidRPr="00781948">
        <w:rPr>
          <w:bCs/>
          <w:sz w:val="20"/>
          <w:szCs w:val="20"/>
          <w:vertAlign w:val="superscript"/>
          <w:lang w:val="id-ID"/>
        </w:rPr>
        <w:t>1</w:t>
      </w:r>
      <w:r w:rsidRPr="00781948">
        <w:rPr>
          <w:bCs/>
          <w:sz w:val="20"/>
          <w:szCs w:val="20"/>
          <w:lang w:val="id-ID"/>
        </w:rPr>
        <w:t>Department of Biology</w:t>
      </w:r>
      <w:r w:rsidRPr="00781948">
        <w:rPr>
          <w:sz w:val="20"/>
          <w:szCs w:val="20"/>
          <w:lang w:val="id-ID"/>
        </w:rPr>
        <w:t>, Faculty of Mathematics and Natural Science, Universitas Islam Al-Azhar, Indonesia</w:t>
      </w:r>
      <w:r w:rsidR="00781948" w:rsidRPr="00781948">
        <w:rPr>
          <w:sz w:val="20"/>
          <w:szCs w:val="20"/>
          <w:lang w:val="id-ID"/>
        </w:rPr>
        <w:t>;</w:t>
      </w:r>
    </w:p>
    <w:p w14:paraId="0F0055F0" w14:textId="77777777" w:rsidR="00C666AF" w:rsidRPr="00781948" w:rsidRDefault="00C666AF" w:rsidP="00781948">
      <w:pPr>
        <w:rPr>
          <w:sz w:val="20"/>
          <w:szCs w:val="20"/>
          <w:lang w:val="id-ID"/>
        </w:rPr>
      </w:pPr>
    </w:p>
    <w:p w14:paraId="1AED89A5" w14:textId="77777777" w:rsidR="00C666AF" w:rsidRPr="00781948" w:rsidRDefault="00C666AF" w:rsidP="00781948">
      <w:pPr>
        <w:spacing w:line="200" w:lineRule="exact"/>
        <w:rPr>
          <w:sz w:val="20"/>
          <w:szCs w:val="20"/>
          <w:lang w:val="id-ID"/>
        </w:rPr>
      </w:pPr>
    </w:p>
    <w:tbl>
      <w:tblPr>
        <w:tblW w:w="9004" w:type="dxa"/>
        <w:tblLook w:val="04A0" w:firstRow="1" w:lastRow="0" w:firstColumn="1" w:lastColumn="0" w:noHBand="0" w:noVBand="1"/>
      </w:tblPr>
      <w:tblGrid>
        <w:gridCol w:w="2518"/>
        <w:gridCol w:w="6486"/>
      </w:tblGrid>
      <w:tr w:rsidR="00C666AF" w:rsidRPr="00781948" w14:paraId="041DD1DA" w14:textId="77777777">
        <w:trPr>
          <w:trHeight w:val="1226"/>
        </w:trPr>
        <w:tc>
          <w:tcPr>
            <w:tcW w:w="2518" w:type="dxa"/>
            <w:vMerge w:val="restart"/>
            <w:tcBorders>
              <w:right w:val="single" w:sz="4" w:space="0" w:color="auto"/>
            </w:tcBorders>
            <w:shd w:val="clear" w:color="auto" w:fill="auto"/>
          </w:tcPr>
          <w:p w14:paraId="25C62DEC" w14:textId="77777777" w:rsidR="00C666AF" w:rsidRPr="00781948" w:rsidRDefault="00000000">
            <w:pPr>
              <w:spacing w:line="276" w:lineRule="auto"/>
              <w:rPr>
                <w:b/>
                <w:sz w:val="18"/>
                <w:szCs w:val="18"/>
                <w:lang w:val="id-ID"/>
              </w:rPr>
            </w:pPr>
            <w:r w:rsidRPr="00781948">
              <w:rPr>
                <w:b/>
                <w:sz w:val="18"/>
                <w:szCs w:val="18"/>
                <w:lang w:val="id-ID"/>
              </w:rPr>
              <w:t>Article History</w:t>
            </w:r>
          </w:p>
          <w:p w14:paraId="0759009F" w14:textId="77777777" w:rsidR="000D7034" w:rsidRPr="00C90EA2" w:rsidRDefault="00000000" w:rsidP="000D7034">
            <w:pPr>
              <w:spacing w:line="276" w:lineRule="auto"/>
              <w:rPr>
                <w:sz w:val="18"/>
                <w:szCs w:val="20"/>
                <w:lang w:val="id-ID"/>
              </w:rPr>
            </w:pPr>
            <w:r w:rsidRPr="00781948">
              <w:rPr>
                <w:sz w:val="18"/>
                <w:szCs w:val="18"/>
                <w:lang w:val="id-ID"/>
              </w:rPr>
              <w:t xml:space="preserve">Received : </w:t>
            </w:r>
            <w:r w:rsidR="000D7034">
              <w:rPr>
                <w:sz w:val="18"/>
                <w:szCs w:val="20"/>
                <w:lang w:val="id-ID"/>
              </w:rPr>
              <w:t>February 25</w:t>
            </w:r>
            <w:r w:rsidR="000D7034" w:rsidRPr="00C90EA2">
              <w:rPr>
                <w:sz w:val="18"/>
                <w:szCs w:val="20"/>
                <w:vertAlign w:val="superscript"/>
                <w:lang w:val="id-ID"/>
              </w:rPr>
              <w:t>th</w:t>
            </w:r>
            <w:r w:rsidR="000D7034" w:rsidRPr="00C90EA2">
              <w:rPr>
                <w:sz w:val="18"/>
                <w:szCs w:val="20"/>
                <w:lang w:val="id-ID"/>
              </w:rPr>
              <w:t>, 2025</w:t>
            </w:r>
          </w:p>
          <w:p w14:paraId="7C799ACA" w14:textId="77777777" w:rsidR="000D7034" w:rsidRPr="00C90EA2" w:rsidRDefault="000D7034" w:rsidP="000D7034">
            <w:pPr>
              <w:spacing w:line="276" w:lineRule="auto"/>
              <w:rPr>
                <w:sz w:val="18"/>
                <w:szCs w:val="20"/>
                <w:lang w:val="id-ID"/>
              </w:rPr>
            </w:pPr>
            <w:r w:rsidRPr="00C90EA2">
              <w:rPr>
                <w:sz w:val="18"/>
                <w:szCs w:val="20"/>
                <w:lang w:val="id-ID"/>
              </w:rPr>
              <w:t xml:space="preserve">Revised : </w:t>
            </w:r>
            <w:r>
              <w:rPr>
                <w:sz w:val="18"/>
                <w:szCs w:val="20"/>
                <w:lang w:val="id-ID"/>
              </w:rPr>
              <w:t>March</w:t>
            </w:r>
            <w:r w:rsidRPr="00C90EA2">
              <w:rPr>
                <w:sz w:val="18"/>
                <w:szCs w:val="20"/>
                <w:lang w:val="id-ID"/>
              </w:rPr>
              <w:t xml:space="preserve"> </w:t>
            </w:r>
            <w:r>
              <w:rPr>
                <w:sz w:val="18"/>
                <w:szCs w:val="20"/>
                <w:lang w:val="id-ID"/>
              </w:rPr>
              <w:t>1</w:t>
            </w:r>
            <w:r w:rsidRPr="00C90EA2">
              <w:rPr>
                <w:sz w:val="18"/>
                <w:szCs w:val="20"/>
                <w:lang w:val="id-ID"/>
              </w:rPr>
              <w:t>0</w:t>
            </w:r>
            <w:r w:rsidRPr="00C90EA2">
              <w:rPr>
                <w:sz w:val="18"/>
                <w:szCs w:val="20"/>
                <w:vertAlign w:val="superscript"/>
                <w:lang w:val="id-ID"/>
              </w:rPr>
              <w:t>th</w:t>
            </w:r>
            <w:r w:rsidRPr="00C90EA2">
              <w:rPr>
                <w:sz w:val="18"/>
                <w:szCs w:val="20"/>
                <w:lang w:val="id-ID"/>
              </w:rPr>
              <w:t>, 2025</w:t>
            </w:r>
          </w:p>
          <w:p w14:paraId="60343F14" w14:textId="23AD5C4E" w:rsidR="000D7034" w:rsidRPr="00C90EA2" w:rsidRDefault="000D7034" w:rsidP="000D7034">
            <w:pPr>
              <w:spacing w:line="276" w:lineRule="auto"/>
              <w:rPr>
                <w:sz w:val="18"/>
                <w:szCs w:val="20"/>
                <w:lang w:val="id-ID"/>
              </w:rPr>
            </w:pPr>
            <w:r w:rsidRPr="00C90EA2">
              <w:rPr>
                <w:sz w:val="18"/>
                <w:szCs w:val="20"/>
                <w:lang w:val="id-ID"/>
              </w:rPr>
              <w:t xml:space="preserve">Accepted : </w:t>
            </w:r>
            <w:r>
              <w:rPr>
                <w:sz w:val="18"/>
                <w:szCs w:val="20"/>
                <w:lang w:val="id-ID"/>
              </w:rPr>
              <w:t>March</w:t>
            </w:r>
            <w:r w:rsidRPr="00C90EA2">
              <w:rPr>
                <w:sz w:val="18"/>
                <w:szCs w:val="20"/>
                <w:lang w:val="id-ID"/>
              </w:rPr>
              <w:t xml:space="preserve"> 1</w:t>
            </w:r>
            <w:r w:rsidR="007E3B35">
              <w:rPr>
                <w:sz w:val="18"/>
                <w:szCs w:val="20"/>
                <w:lang w:val="id-ID"/>
              </w:rPr>
              <w:t>8</w:t>
            </w:r>
            <w:r w:rsidRPr="00C90EA2">
              <w:rPr>
                <w:sz w:val="18"/>
                <w:szCs w:val="20"/>
                <w:vertAlign w:val="superscript"/>
                <w:lang w:val="id-ID"/>
              </w:rPr>
              <w:t>th</w:t>
            </w:r>
            <w:r w:rsidRPr="00C90EA2">
              <w:rPr>
                <w:sz w:val="18"/>
                <w:szCs w:val="20"/>
                <w:lang w:val="id-ID"/>
              </w:rPr>
              <w:t>, 2025</w:t>
            </w:r>
          </w:p>
          <w:p w14:paraId="329A0AEA" w14:textId="4F64BA4E" w:rsidR="00C666AF" w:rsidRPr="00781948" w:rsidRDefault="00C666AF">
            <w:pPr>
              <w:rPr>
                <w:sz w:val="18"/>
                <w:szCs w:val="18"/>
                <w:lang w:val="id-ID"/>
              </w:rPr>
            </w:pPr>
          </w:p>
          <w:p w14:paraId="0565258D" w14:textId="77777777" w:rsidR="00047FFC" w:rsidRPr="00781948" w:rsidRDefault="00047FFC">
            <w:pPr>
              <w:rPr>
                <w:sz w:val="18"/>
                <w:szCs w:val="18"/>
                <w:lang w:val="id-ID"/>
              </w:rPr>
            </w:pPr>
          </w:p>
          <w:p w14:paraId="01DEDB6E" w14:textId="145E4421" w:rsidR="00C666AF" w:rsidRPr="00781948" w:rsidRDefault="00000000">
            <w:pPr>
              <w:rPr>
                <w:sz w:val="18"/>
                <w:szCs w:val="18"/>
                <w:lang w:val="id-ID"/>
              </w:rPr>
            </w:pPr>
            <w:r w:rsidRPr="00781948">
              <w:rPr>
                <w:sz w:val="18"/>
                <w:szCs w:val="18"/>
                <w:lang w:val="id-ID"/>
              </w:rPr>
              <w:t xml:space="preserve">*Corresponding Author: </w:t>
            </w:r>
            <w:r w:rsidRPr="00781948">
              <w:rPr>
                <w:b/>
                <w:sz w:val="18"/>
                <w:szCs w:val="18"/>
                <w:lang w:val="id-ID"/>
              </w:rPr>
              <w:t>Meilinda Pahriana Sulastri</w:t>
            </w:r>
            <w:r w:rsidRPr="00781948">
              <w:rPr>
                <w:sz w:val="18"/>
                <w:szCs w:val="18"/>
                <w:lang w:val="id-ID"/>
              </w:rPr>
              <w:t>, Department of Biology, Faculty of Mathematics and Natural Science, Universitas Islam Al-Azhar, Indonesia</w:t>
            </w:r>
          </w:p>
          <w:p w14:paraId="5D94CDCC" w14:textId="77777777" w:rsidR="00C666AF" w:rsidRPr="00781948" w:rsidRDefault="00000000">
            <w:pPr>
              <w:rPr>
                <w:sz w:val="18"/>
                <w:szCs w:val="18"/>
                <w:lang w:val="id-ID"/>
              </w:rPr>
            </w:pPr>
            <w:r w:rsidRPr="00781948">
              <w:rPr>
                <w:sz w:val="18"/>
                <w:szCs w:val="18"/>
                <w:lang w:val="id-ID"/>
              </w:rPr>
              <w:t xml:space="preserve">Email: </w:t>
            </w:r>
            <w:hyperlink r:id="rId12" w:history="1">
              <w:r w:rsidR="00C666AF" w:rsidRPr="00781948">
                <w:rPr>
                  <w:rStyle w:val="Hyperlink"/>
                  <w:sz w:val="18"/>
                  <w:szCs w:val="18"/>
                  <w:lang w:val="id-ID"/>
                </w:rPr>
                <w:t>meilindapahriana@unizar.ac.id</w:t>
              </w:r>
            </w:hyperlink>
            <w:r w:rsidRPr="00781948">
              <w:rPr>
                <w:sz w:val="18"/>
                <w:szCs w:val="18"/>
                <w:lang w:val="id-ID"/>
              </w:rPr>
              <w:t xml:space="preserve">  </w:t>
            </w:r>
          </w:p>
        </w:tc>
        <w:tc>
          <w:tcPr>
            <w:tcW w:w="6486" w:type="dxa"/>
            <w:vMerge w:val="restart"/>
            <w:tcBorders>
              <w:left w:val="single" w:sz="4" w:space="0" w:color="auto"/>
            </w:tcBorders>
            <w:shd w:val="clear" w:color="auto" w:fill="auto"/>
          </w:tcPr>
          <w:p w14:paraId="30A7E5DA" w14:textId="621DDFA6" w:rsidR="00C666AF" w:rsidRPr="00781948" w:rsidRDefault="00000000" w:rsidP="00B04E91">
            <w:pPr>
              <w:jc w:val="both"/>
              <w:rPr>
                <w:rFonts w:eastAsia="Calibri"/>
                <w:sz w:val="20"/>
                <w:szCs w:val="20"/>
                <w:lang w:val="id-ID"/>
              </w:rPr>
            </w:pPr>
            <w:r w:rsidRPr="00781948">
              <w:rPr>
                <w:rStyle w:val="StyleAbstractItalicChar"/>
                <w:i w:val="0"/>
                <w:sz w:val="20"/>
                <w:szCs w:val="20"/>
                <w:lang w:val="id-ID"/>
              </w:rPr>
              <w:t>Abstract</w:t>
            </w:r>
            <w:r w:rsidR="00B95A5D">
              <w:rPr>
                <w:rStyle w:val="StyleAbstractItalicChar"/>
                <w:i w:val="0"/>
                <w:sz w:val="20"/>
                <w:szCs w:val="20"/>
                <w:lang w:val="id-ID"/>
              </w:rPr>
              <w:t xml:space="preserve">: </w:t>
            </w:r>
            <w:r w:rsidRPr="00781948">
              <w:rPr>
                <w:rFonts w:eastAsia="Calibri"/>
                <w:sz w:val="20"/>
                <w:szCs w:val="20"/>
                <w:lang w:val="id-ID"/>
              </w:rPr>
              <w:t>Nature Tourism Parks (TWA) Gunung Tunak primarily serves the purpose of nature conservation, emphasizing ecotourism due to its stunning coastal landscapes. Currently, there is a significant lack of documented information regarding the diversity and potential of macrofungi in this protected area. This study aims to assess the diversity of macrofungi found within TWA Gunung Tunak and explore their potential applications. The research was conducted using the line transect and plot method, with samples collected along three transect lines in the study area. Each transect comprised ten plots, each measuring 10 x 10 meters and spaced 10 meters apart. The data collected were analyzed using the Shannon Wiener Diversity Index (H')</w:t>
            </w:r>
            <w:r w:rsidR="002B3383" w:rsidRPr="00781948">
              <w:rPr>
                <w:rFonts w:eastAsia="Calibri"/>
                <w:sz w:val="20"/>
                <w:szCs w:val="20"/>
                <w:lang w:val="id-ID"/>
              </w:rPr>
              <w:t xml:space="preserve">. </w:t>
            </w:r>
            <w:r w:rsidRPr="00781948">
              <w:rPr>
                <w:rFonts w:eastAsia="Calibri"/>
                <w:sz w:val="20"/>
                <w:szCs w:val="20"/>
                <w:lang w:val="id-ID"/>
              </w:rPr>
              <w:t xml:space="preserve">A total of 11 species of macrofungi from six families were identified: </w:t>
            </w:r>
            <w:r w:rsidRPr="00781948">
              <w:rPr>
                <w:rFonts w:eastAsia="Calibri"/>
                <w:i/>
                <w:iCs/>
                <w:sz w:val="20"/>
                <w:szCs w:val="20"/>
                <w:lang w:val="id-ID"/>
              </w:rPr>
              <w:t>Polyporaceae</w:t>
            </w:r>
            <w:r w:rsidRPr="00781948">
              <w:rPr>
                <w:rFonts w:eastAsia="Calibri"/>
                <w:sz w:val="20"/>
                <w:szCs w:val="20"/>
                <w:lang w:val="id-ID"/>
              </w:rPr>
              <w:t xml:space="preserve">, </w:t>
            </w:r>
            <w:r w:rsidRPr="00781948">
              <w:rPr>
                <w:rFonts w:eastAsia="Calibri"/>
                <w:i/>
                <w:iCs/>
                <w:sz w:val="20"/>
                <w:szCs w:val="20"/>
                <w:lang w:val="id-ID"/>
              </w:rPr>
              <w:t>Irpicaceae</w:t>
            </w:r>
            <w:r w:rsidRPr="00781948">
              <w:rPr>
                <w:rFonts w:eastAsia="Calibri"/>
                <w:sz w:val="20"/>
                <w:szCs w:val="20"/>
                <w:lang w:val="id-ID"/>
              </w:rPr>
              <w:t xml:space="preserve">, </w:t>
            </w:r>
            <w:r w:rsidRPr="00781948">
              <w:rPr>
                <w:rFonts w:eastAsia="Calibri"/>
                <w:i/>
                <w:iCs/>
                <w:sz w:val="20"/>
                <w:szCs w:val="20"/>
                <w:lang w:val="id-ID"/>
              </w:rPr>
              <w:t>Hymenochaetaceae</w:t>
            </w:r>
            <w:r w:rsidRPr="00781948">
              <w:rPr>
                <w:rFonts w:eastAsia="Calibri"/>
                <w:sz w:val="20"/>
                <w:szCs w:val="20"/>
                <w:lang w:val="id-ID"/>
              </w:rPr>
              <w:t xml:space="preserve">, </w:t>
            </w:r>
            <w:r w:rsidRPr="00781948">
              <w:rPr>
                <w:rFonts w:eastAsia="Calibri"/>
                <w:i/>
                <w:iCs/>
                <w:sz w:val="20"/>
                <w:szCs w:val="20"/>
                <w:lang w:val="id-ID"/>
              </w:rPr>
              <w:t>Gloeophyllaceae</w:t>
            </w:r>
            <w:r w:rsidRPr="00781948">
              <w:rPr>
                <w:rFonts w:eastAsia="Calibri"/>
                <w:sz w:val="20"/>
                <w:szCs w:val="20"/>
                <w:lang w:val="id-ID"/>
              </w:rPr>
              <w:t xml:space="preserve">, </w:t>
            </w:r>
            <w:r w:rsidRPr="00781948">
              <w:rPr>
                <w:rFonts w:eastAsia="Calibri"/>
                <w:i/>
                <w:iCs/>
                <w:sz w:val="20"/>
                <w:szCs w:val="20"/>
                <w:lang w:val="id-ID"/>
              </w:rPr>
              <w:t>Stereaceae</w:t>
            </w:r>
            <w:r w:rsidRPr="00781948">
              <w:rPr>
                <w:rFonts w:eastAsia="Calibri"/>
                <w:sz w:val="20"/>
                <w:szCs w:val="20"/>
                <w:lang w:val="id-ID"/>
              </w:rPr>
              <w:t xml:space="preserve">, and Xylariaceae. The family </w:t>
            </w:r>
            <w:r w:rsidRPr="00781948">
              <w:rPr>
                <w:rFonts w:eastAsia="Calibri"/>
                <w:i/>
                <w:iCs/>
                <w:sz w:val="20"/>
                <w:szCs w:val="20"/>
                <w:lang w:val="id-ID"/>
              </w:rPr>
              <w:t>Polyporaceae</w:t>
            </w:r>
            <w:r w:rsidRPr="00781948">
              <w:rPr>
                <w:rFonts w:eastAsia="Calibri"/>
                <w:sz w:val="20"/>
                <w:szCs w:val="20"/>
                <w:lang w:val="id-ID"/>
              </w:rPr>
              <w:t xml:space="preserve"> had the highest representation, with five species (</w:t>
            </w:r>
            <w:r w:rsidRPr="00781948">
              <w:rPr>
                <w:rFonts w:eastAsia="Calibri"/>
                <w:i/>
                <w:iCs/>
                <w:sz w:val="20"/>
                <w:szCs w:val="20"/>
                <w:lang w:val="id-ID"/>
              </w:rPr>
              <w:t xml:space="preserve">Hexagonia </w:t>
            </w:r>
            <w:r w:rsidRPr="00781948">
              <w:rPr>
                <w:rFonts w:eastAsia="Calibri"/>
                <w:sz w:val="20"/>
                <w:szCs w:val="20"/>
                <w:lang w:val="id-ID"/>
              </w:rPr>
              <w:t xml:space="preserve">sp., </w:t>
            </w:r>
            <w:r w:rsidRPr="00781948">
              <w:rPr>
                <w:rFonts w:eastAsia="Calibri"/>
                <w:i/>
                <w:iCs/>
                <w:sz w:val="20"/>
                <w:szCs w:val="20"/>
                <w:lang w:val="id-ID"/>
              </w:rPr>
              <w:t xml:space="preserve">Trametes </w:t>
            </w:r>
            <w:r w:rsidRPr="00781948">
              <w:rPr>
                <w:rFonts w:eastAsia="Calibri"/>
                <w:sz w:val="20"/>
                <w:szCs w:val="20"/>
                <w:lang w:val="id-ID"/>
              </w:rPr>
              <w:t xml:space="preserve">sp., </w:t>
            </w:r>
            <w:r w:rsidRPr="00781948">
              <w:rPr>
                <w:rFonts w:eastAsia="Calibri"/>
                <w:i/>
                <w:iCs/>
                <w:sz w:val="20"/>
                <w:szCs w:val="20"/>
                <w:lang w:val="id-ID"/>
              </w:rPr>
              <w:t xml:space="preserve">Microporus </w:t>
            </w:r>
            <w:r w:rsidRPr="00781948">
              <w:rPr>
                <w:rFonts w:eastAsia="Calibri"/>
                <w:sz w:val="20"/>
                <w:szCs w:val="20"/>
                <w:lang w:val="id-ID"/>
              </w:rPr>
              <w:t xml:space="preserve">sp., </w:t>
            </w:r>
            <w:r w:rsidRPr="00781948">
              <w:rPr>
                <w:rFonts w:eastAsia="Calibri"/>
                <w:i/>
                <w:iCs/>
                <w:sz w:val="20"/>
                <w:szCs w:val="20"/>
                <w:lang w:val="id-ID"/>
              </w:rPr>
              <w:t xml:space="preserve">Daedalopsis </w:t>
            </w:r>
            <w:r w:rsidRPr="00781948">
              <w:rPr>
                <w:rFonts w:eastAsia="Calibri"/>
                <w:sz w:val="20"/>
                <w:szCs w:val="20"/>
                <w:lang w:val="id-ID"/>
              </w:rPr>
              <w:t xml:space="preserve">sp., and </w:t>
            </w:r>
            <w:r w:rsidRPr="00781948">
              <w:rPr>
                <w:rFonts w:eastAsia="Calibri"/>
                <w:i/>
                <w:iCs/>
                <w:sz w:val="20"/>
                <w:szCs w:val="20"/>
                <w:lang w:val="id-ID"/>
              </w:rPr>
              <w:t xml:space="preserve">Podofomes </w:t>
            </w:r>
            <w:r w:rsidRPr="00781948">
              <w:rPr>
                <w:rFonts w:eastAsia="Calibri"/>
                <w:sz w:val="20"/>
                <w:szCs w:val="20"/>
                <w:lang w:val="id-ID"/>
              </w:rPr>
              <w:t xml:space="preserve">sp.), followed by </w:t>
            </w:r>
            <w:r w:rsidRPr="00781948">
              <w:rPr>
                <w:rFonts w:eastAsia="Calibri"/>
                <w:i/>
                <w:iCs/>
                <w:sz w:val="20"/>
                <w:szCs w:val="20"/>
                <w:lang w:val="id-ID"/>
              </w:rPr>
              <w:t>Hymenochaetaceae</w:t>
            </w:r>
            <w:r w:rsidRPr="00781948">
              <w:rPr>
                <w:rFonts w:eastAsia="Calibri"/>
                <w:sz w:val="20"/>
                <w:szCs w:val="20"/>
                <w:lang w:val="id-ID"/>
              </w:rPr>
              <w:t xml:space="preserve">, which included the species </w:t>
            </w:r>
            <w:r w:rsidRPr="00781948">
              <w:rPr>
                <w:rFonts w:eastAsia="Calibri"/>
                <w:i/>
                <w:iCs/>
                <w:sz w:val="20"/>
                <w:szCs w:val="20"/>
                <w:lang w:val="id-ID"/>
              </w:rPr>
              <w:t xml:space="preserve">Phylloporia </w:t>
            </w:r>
            <w:r w:rsidRPr="00781948">
              <w:rPr>
                <w:rFonts w:eastAsia="Calibri"/>
                <w:sz w:val="20"/>
                <w:szCs w:val="20"/>
                <w:lang w:val="id-ID"/>
              </w:rPr>
              <w:t xml:space="preserve">sp. and </w:t>
            </w:r>
            <w:r w:rsidRPr="00781948">
              <w:rPr>
                <w:rFonts w:eastAsia="Calibri"/>
                <w:i/>
                <w:iCs/>
                <w:sz w:val="20"/>
                <w:szCs w:val="20"/>
                <w:lang w:val="id-ID"/>
              </w:rPr>
              <w:t xml:space="preserve">Phellinus </w:t>
            </w:r>
            <w:r w:rsidRPr="00781948">
              <w:rPr>
                <w:rFonts w:eastAsia="Calibri"/>
                <w:sz w:val="20"/>
                <w:szCs w:val="20"/>
                <w:lang w:val="id-ID"/>
              </w:rPr>
              <w:t xml:space="preserve">sp. The remaining families were represented by only one species each, including </w:t>
            </w:r>
            <w:r w:rsidRPr="00781948">
              <w:rPr>
                <w:rFonts w:eastAsia="Calibri"/>
                <w:i/>
                <w:iCs/>
                <w:sz w:val="20"/>
                <w:szCs w:val="20"/>
                <w:lang w:val="id-ID"/>
              </w:rPr>
              <w:t xml:space="preserve">Irpicaceae </w:t>
            </w:r>
            <w:r w:rsidRPr="00781948">
              <w:rPr>
                <w:rFonts w:eastAsia="Calibri"/>
                <w:sz w:val="20"/>
                <w:szCs w:val="20"/>
                <w:lang w:val="id-ID"/>
              </w:rPr>
              <w:t>(</w:t>
            </w:r>
            <w:r w:rsidRPr="00781948">
              <w:rPr>
                <w:rFonts w:eastAsia="Calibri"/>
                <w:i/>
                <w:iCs/>
                <w:sz w:val="20"/>
                <w:szCs w:val="20"/>
                <w:lang w:val="id-ID"/>
              </w:rPr>
              <w:t xml:space="preserve">Irpex </w:t>
            </w:r>
            <w:r w:rsidRPr="00781948">
              <w:rPr>
                <w:rFonts w:eastAsia="Calibri"/>
                <w:sz w:val="20"/>
                <w:szCs w:val="20"/>
                <w:lang w:val="id-ID"/>
              </w:rPr>
              <w:t xml:space="preserve">sp.), </w:t>
            </w:r>
            <w:r w:rsidRPr="00781948">
              <w:rPr>
                <w:rFonts w:eastAsia="Calibri"/>
                <w:i/>
                <w:iCs/>
                <w:sz w:val="20"/>
                <w:szCs w:val="20"/>
                <w:lang w:val="id-ID"/>
              </w:rPr>
              <w:t xml:space="preserve">Gloeophyllaceae </w:t>
            </w:r>
            <w:r w:rsidRPr="00781948">
              <w:rPr>
                <w:rFonts w:eastAsia="Calibri"/>
                <w:sz w:val="20"/>
                <w:szCs w:val="20"/>
                <w:lang w:val="id-ID"/>
              </w:rPr>
              <w:t>(</w:t>
            </w:r>
            <w:r w:rsidRPr="00781948">
              <w:rPr>
                <w:rFonts w:eastAsia="Calibri"/>
                <w:i/>
                <w:iCs/>
                <w:sz w:val="20"/>
                <w:szCs w:val="20"/>
                <w:lang w:val="id-ID"/>
              </w:rPr>
              <w:t xml:space="preserve">Gloeophyllum </w:t>
            </w:r>
            <w:r w:rsidRPr="00781948">
              <w:rPr>
                <w:rFonts w:eastAsia="Calibri"/>
                <w:sz w:val="20"/>
                <w:szCs w:val="20"/>
                <w:lang w:val="id-ID"/>
              </w:rPr>
              <w:t xml:space="preserve">sp.), </w:t>
            </w:r>
            <w:r w:rsidRPr="00781948">
              <w:rPr>
                <w:rFonts w:eastAsia="Calibri"/>
                <w:i/>
                <w:iCs/>
                <w:sz w:val="20"/>
                <w:szCs w:val="20"/>
                <w:lang w:val="id-ID"/>
              </w:rPr>
              <w:t xml:space="preserve">Stereaceae </w:t>
            </w:r>
            <w:r w:rsidRPr="00781948">
              <w:rPr>
                <w:rFonts w:eastAsia="Calibri"/>
                <w:sz w:val="20"/>
                <w:szCs w:val="20"/>
                <w:lang w:val="id-ID"/>
              </w:rPr>
              <w:t>(</w:t>
            </w:r>
            <w:r w:rsidRPr="00781948">
              <w:rPr>
                <w:rFonts w:eastAsia="Calibri"/>
                <w:i/>
                <w:iCs/>
                <w:sz w:val="20"/>
                <w:szCs w:val="20"/>
                <w:lang w:val="id-ID"/>
              </w:rPr>
              <w:t xml:space="preserve">Stereum </w:t>
            </w:r>
            <w:r w:rsidRPr="00781948">
              <w:rPr>
                <w:rFonts w:eastAsia="Calibri"/>
                <w:sz w:val="20"/>
                <w:szCs w:val="20"/>
                <w:lang w:val="id-ID"/>
              </w:rPr>
              <w:t xml:space="preserve">sp.), and </w:t>
            </w:r>
            <w:r w:rsidRPr="00781948">
              <w:rPr>
                <w:rFonts w:eastAsia="Calibri"/>
                <w:i/>
                <w:iCs/>
                <w:sz w:val="20"/>
                <w:szCs w:val="20"/>
                <w:lang w:val="id-ID"/>
              </w:rPr>
              <w:t xml:space="preserve">Xylariaceae </w:t>
            </w:r>
            <w:r w:rsidRPr="00781948">
              <w:rPr>
                <w:rFonts w:eastAsia="Calibri"/>
                <w:sz w:val="20"/>
                <w:szCs w:val="20"/>
                <w:lang w:val="id-ID"/>
              </w:rPr>
              <w:t>(</w:t>
            </w:r>
            <w:r w:rsidRPr="00781948">
              <w:rPr>
                <w:rFonts w:eastAsia="Calibri"/>
                <w:i/>
                <w:iCs/>
                <w:sz w:val="20"/>
                <w:szCs w:val="20"/>
                <w:lang w:val="id-ID"/>
              </w:rPr>
              <w:t xml:space="preserve">Xylaria </w:t>
            </w:r>
            <w:r w:rsidRPr="00781948">
              <w:rPr>
                <w:rFonts w:eastAsia="Calibri"/>
                <w:sz w:val="20"/>
                <w:szCs w:val="20"/>
                <w:lang w:val="id-ID"/>
              </w:rPr>
              <w:t>sp.). The diversity index indicates a moderate level of macrofungal diversity from all the trails in the study area, influenced by environmental factors such as temperature, seasonal changes, moisture, and rainfall. Furthermore, the study highlights the potential of these macrofungal species as sources of medicinal and nutritional value.</w:t>
            </w:r>
          </w:p>
          <w:p w14:paraId="3429A567" w14:textId="77777777" w:rsidR="00C666AF" w:rsidRPr="00781948" w:rsidRDefault="00C666AF" w:rsidP="00B04E91">
            <w:pPr>
              <w:pStyle w:val="Abstract"/>
              <w:spacing w:after="0"/>
              <w:jc w:val="left"/>
              <w:rPr>
                <w:b w:val="0"/>
                <w:sz w:val="20"/>
                <w:szCs w:val="20"/>
                <w:lang w:val="id-ID"/>
              </w:rPr>
            </w:pPr>
          </w:p>
          <w:p w14:paraId="5CC4C747" w14:textId="228DC04D" w:rsidR="00C666AF" w:rsidRPr="00781948" w:rsidRDefault="00000000" w:rsidP="00B04E91">
            <w:pPr>
              <w:rPr>
                <w:sz w:val="20"/>
                <w:szCs w:val="20"/>
                <w:lang w:val="id-ID"/>
              </w:rPr>
            </w:pPr>
            <w:r w:rsidRPr="00781948">
              <w:rPr>
                <w:b/>
                <w:sz w:val="20"/>
                <w:szCs w:val="20"/>
                <w:lang w:val="id-ID"/>
              </w:rPr>
              <w:t>Keywords:</w:t>
            </w:r>
            <w:r w:rsidRPr="00781948">
              <w:rPr>
                <w:sz w:val="20"/>
                <w:szCs w:val="20"/>
                <w:lang w:val="id-ID"/>
              </w:rPr>
              <w:t xml:space="preserve"> Diversity, </w:t>
            </w:r>
            <w:r w:rsidR="00EB760A">
              <w:rPr>
                <w:sz w:val="20"/>
                <w:szCs w:val="20"/>
                <w:lang w:val="id-ID"/>
              </w:rPr>
              <w:t>i</w:t>
            </w:r>
            <w:r w:rsidR="00BA7098" w:rsidRPr="00781948">
              <w:rPr>
                <w:sz w:val="20"/>
                <w:szCs w:val="20"/>
                <w:lang w:val="id-ID"/>
              </w:rPr>
              <w:t>dentification</w:t>
            </w:r>
            <w:r w:rsidR="00BA7098">
              <w:rPr>
                <w:sz w:val="20"/>
                <w:szCs w:val="20"/>
                <w:lang w:val="id-ID"/>
              </w:rPr>
              <w:t xml:space="preserve">, </w:t>
            </w:r>
            <w:r w:rsidR="00EB760A">
              <w:rPr>
                <w:sz w:val="20"/>
                <w:szCs w:val="20"/>
                <w:lang w:val="id-ID"/>
              </w:rPr>
              <w:t>m</w:t>
            </w:r>
            <w:r w:rsidR="00BA7098" w:rsidRPr="00781948">
              <w:rPr>
                <w:sz w:val="20"/>
                <w:szCs w:val="20"/>
                <w:lang w:val="id-ID"/>
              </w:rPr>
              <w:t>acrofungi</w:t>
            </w:r>
            <w:r w:rsidR="00BA7098">
              <w:rPr>
                <w:sz w:val="20"/>
                <w:szCs w:val="20"/>
                <w:lang w:val="id-ID"/>
              </w:rPr>
              <w:t xml:space="preserve">, </w:t>
            </w:r>
            <w:r w:rsidR="00BA7098" w:rsidRPr="00781948">
              <w:rPr>
                <w:sz w:val="20"/>
                <w:szCs w:val="20"/>
                <w:lang w:val="id-ID"/>
              </w:rPr>
              <w:t>TWA Gunung Tuna</w:t>
            </w:r>
            <w:r w:rsidR="00BA7098">
              <w:rPr>
                <w:sz w:val="20"/>
                <w:szCs w:val="20"/>
                <w:lang w:val="id-ID"/>
              </w:rPr>
              <w:t xml:space="preserve">. </w:t>
            </w:r>
          </w:p>
        </w:tc>
      </w:tr>
      <w:tr w:rsidR="00C666AF" w:rsidRPr="00781948" w14:paraId="3AB13FB5" w14:textId="77777777">
        <w:trPr>
          <w:trHeight w:val="524"/>
        </w:trPr>
        <w:tc>
          <w:tcPr>
            <w:tcW w:w="2518" w:type="dxa"/>
            <w:vMerge/>
            <w:tcBorders>
              <w:right w:val="single" w:sz="4" w:space="0" w:color="auto"/>
            </w:tcBorders>
            <w:shd w:val="clear" w:color="auto" w:fill="auto"/>
          </w:tcPr>
          <w:p w14:paraId="0708509F" w14:textId="77777777" w:rsidR="00C666AF" w:rsidRPr="00781948" w:rsidRDefault="00C666AF">
            <w:pPr>
              <w:rPr>
                <w:sz w:val="20"/>
                <w:szCs w:val="20"/>
                <w:lang w:val="id-ID"/>
              </w:rPr>
            </w:pPr>
          </w:p>
        </w:tc>
        <w:tc>
          <w:tcPr>
            <w:tcW w:w="6486" w:type="dxa"/>
            <w:vMerge/>
            <w:tcBorders>
              <w:left w:val="single" w:sz="4" w:space="0" w:color="auto"/>
            </w:tcBorders>
            <w:shd w:val="clear" w:color="auto" w:fill="auto"/>
            <w:vAlign w:val="center"/>
          </w:tcPr>
          <w:p w14:paraId="65098E9E" w14:textId="77777777" w:rsidR="00C666AF" w:rsidRPr="00781948" w:rsidRDefault="00C666AF">
            <w:pPr>
              <w:rPr>
                <w:sz w:val="20"/>
                <w:szCs w:val="20"/>
                <w:lang w:val="id-ID"/>
              </w:rPr>
            </w:pPr>
          </w:p>
        </w:tc>
      </w:tr>
    </w:tbl>
    <w:p w14:paraId="3CE5C358" w14:textId="77777777" w:rsidR="00C666AF" w:rsidRDefault="00C666AF">
      <w:pPr>
        <w:rPr>
          <w:bCs/>
          <w:iCs/>
          <w:sz w:val="22"/>
          <w:szCs w:val="22"/>
          <w:lang w:val="id-ID"/>
        </w:rPr>
      </w:pPr>
    </w:p>
    <w:p w14:paraId="14A9CF15" w14:textId="77777777" w:rsidR="00EB760A" w:rsidRPr="00EB760A" w:rsidRDefault="00EB760A">
      <w:pPr>
        <w:rPr>
          <w:bCs/>
          <w:iCs/>
          <w:sz w:val="22"/>
          <w:szCs w:val="22"/>
          <w:lang w:val="id-ID"/>
        </w:rPr>
      </w:pPr>
    </w:p>
    <w:p w14:paraId="465E05C0" w14:textId="77777777" w:rsidR="00C666AF" w:rsidRPr="00781948" w:rsidRDefault="00C666AF">
      <w:pPr>
        <w:widowControl w:val="0"/>
        <w:autoSpaceDE w:val="0"/>
        <w:autoSpaceDN w:val="0"/>
        <w:adjustRightInd w:val="0"/>
        <w:spacing w:after="240"/>
        <w:rPr>
          <w:sz w:val="20"/>
          <w:szCs w:val="20"/>
          <w:lang w:val="id-ID"/>
        </w:rPr>
        <w:sectPr w:rsidR="00C666AF" w:rsidRPr="00781948">
          <w:headerReference w:type="default" r:id="rId13"/>
          <w:footerReference w:type="default" r:id="rId14"/>
          <w:headerReference w:type="first" r:id="rId15"/>
          <w:footerReference w:type="first" r:id="rId16"/>
          <w:type w:val="continuous"/>
          <w:pgSz w:w="11894" w:h="16157" w:code="9"/>
          <w:pgMar w:top="1440" w:right="1440" w:bottom="1440" w:left="1440" w:header="1138" w:footer="941" w:gutter="0"/>
          <w:cols w:space="708"/>
          <w:titlePg/>
          <w:docGrid w:linePitch="360"/>
        </w:sectPr>
      </w:pPr>
    </w:p>
    <w:p w14:paraId="0522810F" w14:textId="77777777" w:rsidR="00C666AF" w:rsidRPr="00781948" w:rsidRDefault="00000000">
      <w:pPr>
        <w:widowControl w:val="0"/>
        <w:autoSpaceDE w:val="0"/>
        <w:autoSpaceDN w:val="0"/>
        <w:adjustRightInd w:val="0"/>
        <w:jc w:val="both"/>
        <w:rPr>
          <w:b/>
          <w:sz w:val="22"/>
          <w:szCs w:val="22"/>
          <w:lang w:val="id-ID"/>
        </w:rPr>
      </w:pPr>
      <w:r w:rsidRPr="00781948">
        <w:rPr>
          <w:b/>
          <w:sz w:val="22"/>
          <w:szCs w:val="22"/>
          <w:lang w:val="id-ID"/>
        </w:rPr>
        <w:t>Introduction</w:t>
      </w:r>
    </w:p>
    <w:p w14:paraId="6A87CA1E" w14:textId="77777777" w:rsidR="00C666AF" w:rsidRPr="00781948" w:rsidRDefault="00C666AF">
      <w:pPr>
        <w:widowControl w:val="0"/>
        <w:autoSpaceDE w:val="0"/>
        <w:autoSpaceDN w:val="0"/>
        <w:adjustRightInd w:val="0"/>
        <w:jc w:val="both"/>
        <w:rPr>
          <w:b/>
          <w:sz w:val="22"/>
          <w:szCs w:val="22"/>
          <w:lang w:val="id-ID"/>
        </w:rPr>
      </w:pPr>
    </w:p>
    <w:p w14:paraId="1860C30C" w14:textId="79B6015C" w:rsidR="00562EB5" w:rsidRPr="00781948" w:rsidRDefault="00562EB5" w:rsidP="00087362">
      <w:pPr>
        <w:widowControl w:val="0"/>
        <w:ind w:firstLine="540"/>
        <w:jc w:val="both"/>
        <w:rPr>
          <w:rFonts w:eastAsia="Times New Roman"/>
          <w:sz w:val="22"/>
          <w:szCs w:val="22"/>
          <w:lang w:val="id-ID"/>
        </w:rPr>
      </w:pPr>
      <w:r w:rsidRPr="00781948">
        <w:rPr>
          <w:rFonts w:eastAsia="Times New Roman"/>
          <w:sz w:val="22"/>
          <w:szCs w:val="22"/>
          <w:lang w:val="id-ID"/>
        </w:rPr>
        <w:t xml:space="preserve">Biodiversity is a crucial aspecy in maintaining global </w:t>
      </w:r>
      <w:r w:rsidRPr="00781948">
        <w:rPr>
          <w:rFonts w:eastAsia="Times New Roman"/>
          <w:sz w:val="22"/>
          <w:szCs w:val="22"/>
          <w:lang w:val="id-ID" w:eastAsia="id-ID"/>
        </w:rPr>
        <w:t>ecosystem</w:t>
      </w:r>
      <w:r w:rsidRPr="00781948">
        <w:rPr>
          <w:rFonts w:eastAsia="Times New Roman"/>
          <w:sz w:val="22"/>
          <w:szCs w:val="22"/>
          <w:lang w:val="id-ID"/>
        </w:rPr>
        <w:t xml:space="preserve"> balance. Indonesia as one of the countries with the highest biological richness, heavily relies on comprehensive biodiversity data to formulate effective resource conservation strategies </w:t>
      </w:r>
      <w:r w:rsidRPr="00781948">
        <w:rPr>
          <w:rFonts w:eastAsia="Times New Roman"/>
          <w:sz w:val="22"/>
          <w:szCs w:val="22"/>
          <w:lang w:val="id-ID"/>
        </w:rPr>
        <w:fldChar w:fldCharType="begin"/>
      </w:r>
      <w:r w:rsidR="00B51C4F" w:rsidRPr="00781948">
        <w:rPr>
          <w:rFonts w:eastAsia="Times New Roman"/>
          <w:sz w:val="22"/>
          <w:szCs w:val="22"/>
          <w:lang w:val="id-ID"/>
        </w:rPr>
        <w:instrText xml:space="preserve"> ADDIN ZOTERO_ITEM CSL_CITATION {"citationID":"kJoU5ov9","properties":{"formattedCitation":"(Putra et al., 2018)","plainCitation":"(Putra et al., 2018)","noteIndex":0},"citationItems":[{"id":"n67l8Wxv/qg3plqkA","uris":["http://zotero.org/users/local/aclxgGd8/items/GK948YLW"],"itemData":{"id":60,"type":"article-journal","abstract":"AbstrakTaman Wisata Mekarsari (TWM) merupakan salah satu daerah penyangga ekosistem dan pusat pelestarian keanekaragaman hayati di Indonesia. Keragaman jamur makro asal serasah dan tanah di TWM belum pernah dilaporkan sebelumnya. Jamur merupakan organisme penting dalam siklus materi karena kemampuannya mendegradasi bahan organik pada ekosistem. Tujuan dari penelitian ini adalah untuk menyediakan informasi mengenai keragaman jamur makro di TWM untuk pemanfaatan potensinya di masa mendatang. Sebanyak 20 jenis dan 16 genus jamur makro berhasil dikoleksi dari TMW pada penelitian ini. Identifikasi jamur dilakukan dengan menggunakan berbagai karakter makroskopik. Pada tulisan ini dijelaskan cara deskripsi karakter makroskopik untuk membantu identifikasi jamur. Jamur yang berhasil diidentifikasi pada penelitian ini adalah Amanita sp.1, Amanita sp.2, Auricularia sp., Collybia sp., Clitocybe sp., Crepidotus sp., Cyathus sp., Ganoderma sp., Lepiota sp.1, Lepiota sp.2, Marasmius sp., Naucoria sp.1, Naucoria sp.2, Omphalina sp., Panaeolus sp., Parasola sp.1, Parasola sp.2, Pluteus sp., Scizophyllum sp., dan Xylaria sp. Beberapa jamur yakni Auricularia, Clitocybe, Ganoderma, dan Scizophyllum yang ditemukan berpotensi sebagai bahan pangan dan obat. Inventarisasi data keragaman yang baik akan membantu upaya pengelolaan dan pelestarian kekayaan sumber daya hayati di Indonesia. Abstract Mekarsari Tourism Area (TWM) is one of the buffer zone of ecosystem and biodiversity conservation center in Indonesia. The diversity of macro fungi from the litter and soil in TWM has not been previously reported. Fungi are important organisms in the material cycle because of their ability to degrade organic matter on the ecosystem. In this study, 20 species and 16 genera of mushrooms were collected from TWM. Mushroom identification is performed using various macroscopic characters. The mushrooms identified in this paper are: Amanita sp.1, Amanita sp.2, Auricularia sp., Collybia sp., Clitocybe sp., Crepidotus sp., Cyathus sp., Ganoderma sp., Lepiota sp.1, Lepiota sp.2, Marasmius sp., Naucoria sp.1, Naucoria sp.2, Omphalina sp., Panaeolus sp., Parasola sp.1, Parasola sp.2, Pluteus sp., Scizophyllum sp., and Xylariasp. Some of them were considered  as food and medicinal source. Good inventory of diversity data will assist the management and conservation of the wealth of biological resources in Indonesia.","container-title":"Al-Kauniyah: Jurnal Biologi","DOI":"10.15408/kauniyah.v11i2.6729","ISSN":"2502-6720, 1978-3736","issue":"2","journalAbbreviation":"Al-Kauniyah J. Biol.","note":"number: 2","page":"133-150","source":"DOI.org (Crossref)","title":"RAGAM DAN POTENSI JAMUR MAKRO ASAL TAMAN WISATA MEKARSARI JAWA BARAT","volume":"11","author":[{"family":"Putra","given":"Ivan Permana"},{"family":"Sitompul","given":"Rahmadi"},{"family":"Chalisya","given":"Nadiah"}],"issued":{"date-parts":[["2018",10,23]]}}}],"schema":"https://github.com/citation-style-language/schema/raw/master/csl-citation.json"} </w:instrText>
      </w:r>
      <w:r w:rsidRPr="00781948">
        <w:rPr>
          <w:rFonts w:eastAsia="Times New Roman"/>
          <w:sz w:val="22"/>
          <w:szCs w:val="22"/>
          <w:lang w:val="id-ID"/>
        </w:rPr>
        <w:fldChar w:fldCharType="separate"/>
      </w:r>
      <w:r w:rsidR="00B51C4F" w:rsidRPr="00781948">
        <w:rPr>
          <w:sz w:val="22"/>
          <w:lang w:val="id-ID"/>
        </w:rPr>
        <w:t>(Putra et al., 2018)</w:t>
      </w:r>
      <w:r w:rsidRPr="00781948">
        <w:rPr>
          <w:rFonts w:eastAsia="Times New Roman"/>
          <w:sz w:val="22"/>
          <w:szCs w:val="22"/>
          <w:lang w:val="id-ID"/>
        </w:rPr>
        <w:fldChar w:fldCharType="end"/>
      </w:r>
      <w:r w:rsidRPr="00781948">
        <w:rPr>
          <w:rFonts w:eastAsia="Times New Roman"/>
          <w:sz w:val="22"/>
          <w:szCs w:val="22"/>
          <w:lang w:val="id-ID"/>
        </w:rPr>
        <w:t>. Efforts to protect the country's natural biodiversity depend significantly on a deep understanding of various organism groups, including fungi.</w:t>
      </w:r>
    </w:p>
    <w:p w14:paraId="2150B349" w14:textId="2A616D73" w:rsidR="00C666AF" w:rsidRPr="00781948" w:rsidRDefault="00000000" w:rsidP="00F1618F">
      <w:pPr>
        <w:widowControl w:val="0"/>
        <w:ind w:firstLine="540"/>
        <w:jc w:val="both"/>
        <w:rPr>
          <w:rFonts w:eastAsia="Times New Roman"/>
          <w:sz w:val="22"/>
          <w:szCs w:val="22"/>
          <w:lang w:val="id-ID"/>
        </w:rPr>
      </w:pPr>
      <w:r w:rsidRPr="00781948">
        <w:rPr>
          <w:rFonts w:eastAsia="Times New Roman"/>
          <w:sz w:val="22"/>
          <w:szCs w:val="22"/>
          <w:lang w:val="id-ID"/>
        </w:rPr>
        <w:t xml:space="preserve">Fungi, especially the macrofungi group which comprises mushrooms and other noticeable fungal forms, are a significant </w:t>
      </w:r>
      <w:r w:rsidRPr="00781948">
        <w:rPr>
          <w:rFonts w:eastAsia="Times New Roman"/>
          <w:sz w:val="22"/>
          <w:szCs w:val="22"/>
          <w:lang w:val="id-ID" w:eastAsia="id-ID"/>
        </w:rPr>
        <w:t>yet</w:t>
      </w:r>
      <w:r w:rsidRPr="00781948">
        <w:rPr>
          <w:rFonts w:eastAsia="Times New Roman"/>
          <w:sz w:val="22"/>
          <w:szCs w:val="22"/>
          <w:lang w:val="id-ID"/>
        </w:rPr>
        <w:t xml:space="preserve"> often overlooked component of Indonesia's biodiversity </w:t>
      </w:r>
      <w:r w:rsidRPr="00781948">
        <w:rPr>
          <w:rFonts w:eastAsia="Times New Roman"/>
          <w:sz w:val="22"/>
          <w:szCs w:val="22"/>
          <w:lang w:val="id-ID"/>
        </w:rPr>
        <w:fldChar w:fldCharType="begin"/>
      </w:r>
      <w:r w:rsidR="00B51C4F" w:rsidRPr="00781948">
        <w:rPr>
          <w:rFonts w:eastAsia="Times New Roman"/>
          <w:sz w:val="22"/>
          <w:szCs w:val="22"/>
          <w:lang w:val="id-ID"/>
        </w:rPr>
        <w:instrText xml:space="preserve"> ADDIN ZOTERO_ITEM CSL_CITATION {"citationID":"wSpomG6m","properties":{"formattedCitation":"(Nurdiyanti et al., 2020)","plainCitation":"(Nurdiyanti et al., 2020)","noteIndex":0},"citationItems":[{"id":"n67l8Wxv/dIEVjkNQ","uris":["http://zotero.org/users/local/aclxgGd8/items/D5CBEBSK"],"itemData":{"id":78,"type":"article-journal","abstract":"Marore Island (Province of North Sulawesi) is one of the outermost island in Indonesia. The island is located at the borderline within the Philippines. Till date, there is no publication about islands macrofungi diversity from this island. In fact, the diversity of macrofungi has the potency to support the development of global bioeconomic in Indonesia. The purpose of this study is to make an inventory list of macrofungi on Marore Island in order to enhance the potential in the future. A total was of 22 mushrooms from 13 genera were obtained from this study which were divided into two phylums, namely Basidiomycota and Ascomycota. The identification results confirmed the species obtained: Ganoderma sp.1, Ganoderma sp.2, Ganoderma sp.3, Ganoderma sp.4, Ganoderma sp.5, Ganoderma sp.6, Trametes sp.1, Trametes sp.2, Trametes sp.3, Pycnoporus sp.1, Pycnoporus sp.2, Polyporus sp., Daedalea sp., Lentinus sp., Marasmius sp.1, Marasmius sp.2, Schizophyllum sp., Panellus sp., Tricholoma sp., Phallus sp., Dacryopinax spathularia, and Daldinia sp.","container-title":"Jurnal Sumberdaya Hayati","DOI":"10.29244/jsdh.6.2.56-66","ISSN":"2477-037X","issue":"2","journalAbbreviation":"JSDH","note":"number: 2","page":"56-66","source":"DOI.org (Crossref)","title":"Catatan Diversitas Jamur di Salah Satu Pulau Terluar Republik Indonesia: Notes on the Diversity of Macrofungi at one of the Outermost Islands in the Republic of Indonesia","title-short":"Catatan Diversitas Jamur di Salah Satu Pulau Terluar Republik Indonesia","volume":"6","author":[{"family":"Nurdiyanti","given":"Meilisa Dwi"},{"family":"Suharti","given":"Asrie"},{"family":"Amelya","given":"Mega Putri"},{"family":"Putra","given":"Ivan Permana"}],"issued":{"date-parts":[["2020",12,31]]}}}],"schema":"https://github.com/citation-style-language/schema/raw/master/csl-citation.json"} </w:instrText>
      </w:r>
      <w:r w:rsidRPr="00781948">
        <w:rPr>
          <w:rFonts w:eastAsia="Times New Roman"/>
          <w:sz w:val="22"/>
          <w:szCs w:val="22"/>
          <w:lang w:val="id-ID"/>
        </w:rPr>
        <w:fldChar w:fldCharType="separate"/>
      </w:r>
      <w:r w:rsidR="00B51C4F" w:rsidRPr="00781948">
        <w:rPr>
          <w:sz w:val="22"/>
          <w:lang w:val="id-ID"/>
        </w:rPr>
        <w:t>(Nurdiyanti et al., 2020)</w:t>
      </w:r>
      <w:r w:rsidRPr="00781948">
        <w:rPr>
          <w:rFonts w:eastAsia="Times New Roman"/>
          <w:sz w:val="22"/>
          <w:szCs w:val="22"/>
          <w:lang w:val="id-ID"/>
        </w:rPr>
        <w:fldChar w:fldCharType="end"/>
      </w:r>
      <w:r w:rsidRPr="00781948">
        <w:rPr>
          <w:rFonts w:eastAsia="Times New Roman"/>
          <w:sz w:val="22"/>
          <w:szCs w:val="22"/>
          <w:lang w:val="id-ID"/>
        </w:rPr>
        <w:t>.</w:t>
      </w:r>
      <w:r w:rsidR="00562EB5" w:rsidRPr="00781948">
        <w:rPr>
          <w:rFonts w:eastAsia="Times New Roman"/>
          <w:sz w:val="22"/>
          <w:szCs w:val="22"/>
          <w:lang w:val="id-ID"/>
        </w:rPr>
        <w:t xml:space="preserve"> </w:t>
      </w:r>
      <w:r w:rsidR="00F82235" w:rsidRPr="00781948">
        <w:rPr>
          <w:rFonts w:eastAsia="Times New Roman"/>
          <w:sz w:val="22"/>
          <w:szCs w:val="22"/>
          <w:lang w:val="id-ID"/>
        </w:rPr>
        <w:t xml:space="preserve">With an estimated number of fungal species in Indonesia </w:t>
      </w:r>
      <w:r w:rsidR="00F82235" w:rsidRPr="00781948">
        <w:rPr>
          <w:rFonts w:eastAsia="Times New Roman"/>
          <w:sz w:val="22"/>
          <w:szCs w:val="22"/>
          <w:lang w:val="id-ID"/>
        </w:rPr>
        <w:t xml:space="preserve">reaching approximately 200,000 </w:t>
      </w:r>
      <w:r w:rsidRPr="00781948">
        <w:rPr>
          <w:rFonts w:eastAsia="Times New Roman"/>
          <w:sz w:val="22"/>
          <w:szCs w:val="22"/>
          <w:lang w:val="id-ID"/>
        </w:rPr>
        <w:fldChar w:fldCharType="begin"/>
      </w:r>
      <w:r w:rsidR="00B51C4F" w:rsidRPr="00781948">
        <w:rPr>
          <w:rFonts w:eastAsia="Times New Roman"/>
          <w:sz w:val="22"/>
          <w:szCs w:val="22"/>
          <w:lang w:val="id-ID"/>
        </w:rPr>
        <w:instrText xml:space="preserve"> ADDIN ZOTERO_ITEM CSL_CITATION {"citationID":"GuEj29c8","properties":{"formattedCitation":"(Gandjar et al., 2006)","plainCitation":"(Gandjar et al., 2006)","noteIndex":0},"citationItems":[{"id":"n67l8Wxv/BBOCxCIA","uris":["http://zotero.org/users/local/aclxgGd8/items/82ULM2RK"],"itemData":{"id":80,"type":"book","event-place":"Jakarta","ISBN":"602-433-242-4","publisher":"Yayasan Pustaka Obor Indonesia","publisher-place":"Jakarta","title":"Mikologi Dasar dan Terapan","author":[{"family":"Gandjar","given":"Indrawati"},{"family":"Sjamsurizal","given":"W."},{"family":"Oetari","given":"A."}],"issued":{"date-parts":[["2006"]]}}}],"schema":"https://github.com/citation-style-language/schema/raw/master/csl-citation.json"} </w:instrText>
      </w:r>
      <w:r w:rsidRPr="00781948">
        <w:rPr>
          <w:rFonts w:eastAsia="Times New Roman"/>
          <w:sz w:val="22"/>
          <w:szCs w:val="22"/>
          <w:lang w:val="id-ID"/>
        </w:rPr>
        <w:fldChar w:fldCharType="separate"/>
      </w:r>
      <w:r w:rsidR="00B51C4F" w:rsidRPr="00781948">
        <w:rPr>
          <w:sz w:val="22"/>
          <w:lang w:val="id-ID"/>
        </w:rPr>
        <w:t>(Gandjar et al., 2006)</w:t>
      </w:r>
      <w:r w:rsidRPr="00781948">
        <w:rPr>
          <w:rFonts w:eastAsia="Times New Roman"/>
          <w:sz w:val="22"/>
          <w:szCs w:val="22"/>
          <w:lang w:val="id-ID"/>
        </w:rPr>
        <w:fldChar w:fldCharType="end"/>
      </w:r>
      <w:r w:rsidR="00F82235" w:rsidRPr="00781948">
        <w:rPr>
          <w:rFonts w:eastAsia="Times New Roman"/>
          <w:sz w:val="22"/>
          <w:szCs w:val="22"/>
          <w:lang w:val="id-ID"/>
        </w:rPr>
        <w:t xml:space="preserve"> out of </w:t>
      </w:r>
      <w:r w:rsidRPr="00781948">
        <w:rPr>
          <w:rFonts w:eastAsia="Times New Roman"/>
          <w:sz w:val="22"/>
          <w:szCs w:val="22"/>
          <w:lang w:val="id-ID"/>
        </w:rPr>
        <w:t xml:space="preserve">3.8 million species that exist worldwide </w:t>
      </w:r>
      <w:r w:rsidRPr="00781948">
        <w:rPr>
          <w:rFonts w:eastAsia="Times New Roman"/>
          <w:sz w:val="22"/>
          <w:szCs w:val="22"/>
          <w:lang w:val="id-ID"/>
        </w:rPr>
        <w:fldChar w:fldCharType="begin"/>
      </w:r>
      <w:r w:rsidR="00B51C4F" w:rsidRPr="00781948">
        <w:rPr>
          <w:rFonts w:eastAsia="Times New Roman"/>
          <w:sz w:val="22"/>
          <w:szCs w:val="22"/>
          <w:lang w:val="id-ID"/>
        </w:rPr>
        <w:instrText xml:space="preserve"> ADDIN ZOTERO_ITEM CSL_CITATION {"citationID":"DauPLo1I","properties":{"formattedCitation":"(Hawksworth &amp; L\\uc0\\u252{}cking, 2017)","plainCitation":"(Hawksworth &amp; Lücking, 2017)","noteIndex":0},"citationItems":[{"id":"n67l8Wxv/f2SDye7f","uris":["http://zotero.org/users/local/aclxgGd8/items/VRFZV2TC"],"itemData":{"id":77,"type":"article-journal","abstract":"ABSTRACT\n            \n              The question of how many species of\n              Fungi\n              there are has occasioned much speculation, with figures mostly posited from around half a million to 10 million, and in one extreme case even a sizable portion of the spectacular number of 1 trillion. Here we examine new evidence from various sources to derive an updated estimate of global fungal diversity. The rates and patterns in the description of new species from the 1750s show no sign of approaching an asymptote and even accelerated in the 2010s after the advent of molecular approaches to species delimitation. Species recognition studies of (semi-)cryptic species hidden in morpho-species complexes suggest a weighted average ratio of about an order of magnitude for the number of species recognized after and before such studies. New evidence also comes from extrapolations of plant:fungus ratios, with information now being generated from environmental sequence studies, including comparisons of molecular and fieldwork data from the same sites. We further draw attention to undescribed species awaiting discovery in biodiversity hot spots in the tropics, little-explored habitats (such as lichen-inhabiting fungi), and material in collections awaiting study. We conclude that the commonly cited estimate of 1.5 million species is conservative and that the actual range is properly estimated at 2.2 to 3.8 million. With 120,000 currently accepted species, it appears that at best just 8%, and in the worst case scenario just 3%, are named so far. Improved estimates hinge particularly on reliable statistical and phylogenetic approaches to analyze the rapidly increasing amount of environmental sequence data.","container-title":"Microbiology Spectrum","DOI":"10.1128/microbiolspec.FUNK-0052-2016","ISSN":"2165-0497","issue":"4","journalAbbreviation":"Microbiol Spectr","language":"en","note":"number: 4","page":"5.4.10","source":"DOI.org (Crossref)","title":"Fungal Diversity Revisited: 2.2 to 3.8 Million Species","title-short":"Fungal Diversity Revisited","volume":"5","author":[{"family":"Hawksworth","given":"David L."},{"family":"Lücking","given":"Robert"}],"editor":[{"family":"Heitman","given":"Joseph"},{"family":"James","given":"Timothy Y."}],"issued":{"date-parts":[["2017",8,25]]}}}],"schema":"https://github.com/citation-style-language/schema/raw/master/csl-citation.json"} </w:instrText>
      </w:r>
      <w:r w:rsidRPr="00781948">
        <w:rPr>
          <w:rFonts w:eastAsia="Times New Roman"/>
          <w:sz w:val="22"/>
          <w:szCs w:val="22"/>
          <w:lang w:val="id-ID"/>
        </w:rPr>
        <w:fldChar w:fldCharType="separate"/>
      </w:r>
      <w:r w:rsidR="00B51C4F" w:rsidRPr="00781948">
        <w:rPr>
          <w:sz w:val="22"/>
          <w:lang w:val="id-ID"/>
        </w:rPr>
        <w:t>(Hawksworth &amp; Lücking, 2017)</w:t>
      </w:r>
      <w:r w:rsidRPr="00781948">
        <w:rPr>
          <w:rFonts w:eastAsia="Times New Roman"/>
          <w:sz w:val="22"/>
          <w:szCs w:val="22"/>
          <w:lang w:val="id-ID"/>
        </w:rPr>
        <w:fldChar w:fldCharType="end"/>
      </w:r>
      <w:r w:rsidR="00F82235" w:rsidRPr="00781948">
        <w:rPr>
          <w:rFonts w:eastAsia="Times New Roman"/>
          <w:sz w:val="22"/>
          <w:szCs w:val="22"/>
          <w:lang w:val="id-ID"/>
        </w:rPr>
        <w:t>, their role in the ecosystems is significant. They</w:t>
      </w:r>
      <w:r w:rsidRPr="00781948">
        <w:rPr>
          <w:rFonts w:eastAsia="Times New Roman"/>
          <w:sz w:val="22"/>
          <w:szCs w:val="22"/>
          <w:lang w:val="id-ID"/>
        </w:rPr>
        <w:t xml:space="preserve"> function as decomposers, nutrient cyclers, and symbiotic partners with plants. Additionally, fungi have considerable economic value, with potential applications as sources of food, medicinal compounds, and enzymes crucial for various biotechnological applications.</w:t>
      </w:r>
    </w:p>
    <w:p w14:paraId="71C5FA1C" w14:textId="27F9F3EB" w:rsidR="00BD1EBB" w:rsidRPr="00781948" w:rsidRDefault="00000000" w:rsidP="00F1618F">
      <w:pPr>
        <w:widowControl w:val="0"/>
        <w:ind w:firstLine="540"/>
        <w:jc w:val="both"/>
        <w:rPr>
          <w:rFonts w:eastAsia="Times New Roman"/>
          <w:sz w:val="22"/>
          <w:szCs w:val="22"/>
          <w:lang w:val="id-ID"/>
        </w:rPr>
      </w:pPr>
      <w:r w:rsidRPr="00781948">
        <w:rPr>
          <w:rFonts w:eastAsia="Times New Roman"/>
          <w:sz w:val="22"/>
          <w:szCs w:val="22"/>
          <w:lang w:val="id-ID"/>
        </w:rPr>
        <w:t xml:space="preserve">Despite their ecological and economic significance, the understanding of fungal species and their potential </w:t>
      </w:r>
      <w:r w:rsidRPr="00781948">
        <w:rPr>
          <w:rFonts w:eastAsia="Times New Roman"/>
          <w:sz w:val="22"/>
          <w:szCs w:val="22"/>
          <w:lang w:val="id-ID" w:eastAsia="id-ID"/>
        </w:rPr>
        <w:t>in</w:t>
      </w:r>
      <w:r w:rsidRPr="00781948">
        <w:rPr>
          <w:rFonts w:eastAsia="Times New Roman"/>
          <w:sz w:val="22"/>
          <w:szCs w:val="22"/>
          <w:lang w:val="id-ID"/>
        </w:rPr>
        <w:t xml:space="preserve"> Indonesia remains limited. Although there is an increasing number of studies focused on identifying fungi in their natural habitats, the biodiversity of fungi has not been fully documented. This knowledge gap poses challenges for effective conservation efforts and </w:t>
      </w:r>
      <w:r w:rsidRPr="00781948">
        <w:rPr>
          <w:rFonts w:eastAsia="Times New Roman"/>
          <w:sz w:val="22"/>
          <w:szCs w:val="22"/>
          <w:lang w:val="id-ID"/>
        </w:rPr>
        <w:lastRenderedPageBreak/>
        <w:t>the sustainable utilization of fungal resources.</w:t>
      </w:r>
      <w:r w:rsidR="00BD1FC5" w:rsidRPr="00781948">
        <w:rPr>
          <w:rFonts w:eastAsia="Times New Roman"/>
          <w:sz w:val="22"/>
          <w:szCs w:val="22"/>
          <w:lang w:val="id-ID"/>
        </w:rPr>
        <w:t xml:space="preserve"> </w:t>
      </w:r>
      <w:r w:rsidRPr="00781948">
        <w:rPr>
          <w:rFonts w:eastAsia="Times New Roman"/>
          <w:sz w:val="22"/>
          <w:szCs w:val="22"/>
          <w:lang w:val="id-ID"/>
        </w:rPr>
        <w:t xml:space="preserve">Lombok </w:t>
      </w:r>
      <w:r w:rsidR="00BD1FC5" w:rsidRPr="00781948">
        <w:rPr>
          <w:rFonts w:eastAsia="Times New Roman"/>
          <w:sz w:val="22"/>
          <w:szCs w:val="22"/>
          <w:lang w:val="id-ID"/>
        </w:rPr>
        <w:t>Island, with its diverse ecosystems and climatic conditions, provides an ideal environment for fungal growth.</w:t>
      </w:r>
      <w:r w:rsidR="00BD1EBB" w:rsidRPr="00781948">
        <w:rPr>
          <w:rFonts w:eastAsia="Times New Roman"/>
          <w:sz w:val="22"/>
          <w:szCs w:val="22"/>
          <w:lang w:val="id-ID"/>
        </w:rPr>
        <w:t xml:space="preserve"> However, particularly in Gunung Tunak Natural Park (TWA), a conservation area with an ecotourism focus, information on the diversity and potential of macrofungi is very scarce.</w:t>
      </w:r>
    </w:p>
    <w:p w14:paraId="78EA34E2" w14:textId="47215966" w:rsidR="00C666AF" w:rsidRPr="00781948" w:rsidRDefault="00000000" w:rsidP="00781C75">
      <w:pPr>
        <w:widowControl w:val="0"/>
        <w:ind w:firstLine="540"/>
        <w:jc w:val="both"/>
        <w:rPr>
          <w:rFonts w:eastAsia="Times New Roman"/>
          <w:sz w:val="22"/>
          <w:szCs w:val="22"/>
          <w:lang w:val="id-ID"/>
        </w:rPr>
      </w:pPr>
      <w:r w:rsidRPr="00781948">
        <w:rPr>
          <w:rFonts w:eastAsia="Times New Roman"/>
          <w:sz w:val="22"/>
          <w:szCs w:val="22"/>
          <w:lang w:val="id-ID"/>
        </w:rPr>
        <w:t xml:space="preserve">Gunung Tunak is designated as one of eleven Nature Tourism Parks (TWA) and among seventeen conservation areas managed by the Balai Konservasi Sumber Daya Alam (BKSDA) in West Nusa Tenggara </w:t>
      </w:r>
      <w:hyperlink r:id="rId17" w:history="1">
        <w:r w:rsidR="00C666AF" w:rsidRPr="00781948">
          <w:rPr>
            <w:rFonts w:eastAsia="Times New Roman"/>
            <w:sz w:val="22"/>
            <w:szCs w:val="22"/>
            <w:lang w:val="id-ID"/>
          </w:rPr>
          <w:t>(Hasanah et al., 2020)</w:t>
        </w:r>
      </w:hyperlink>
      <w:r w:rsidRPr="00781948">
        <w:rPr>
          <w:rFonts w:eastAsia="Times New Roman"/>
          <w:sz w:val="22"/>
          <w:szCs w:val="22"/>
          <w:lang w:val="id-ID"/>
        </w:rPr>
        <w:t xml:space="preserve">. </w:t>
      </w:r>
      <w:r w:rsidR="00264F44" w:rsidRPr="00781948">
        <w:rPr>
          <w:rFonts w:eastAsia="Times New Roman"/>
          <w:sz w:val="22"/>
          <w:szCs w:val="22"/>
          <w:lang w:val="id-ID"/>
        </w:rPr>
        <w:t>Geographically</w:t>
      </w:r>
      <w:r w:rsidRPr="00781948">
        <w:rPr>
          <w:rFonts w:eastAsia="Times New Roman"/>
          <w:sz w:val="22"/>
          <w:szCs w:val="22"/>
          <w:lang w:val="id-ID"/>
        </w:rPr>
        <w:t xml:space="preserve">, TWA Gunung Tunak located at the southern tip of Lombok Island and directly bordering the Indian Ocean in Central Lombok </w:t>
      </w:r>
      <w:r w:rsidRPr="00781948">
        <w:rPr>
          <w:rFonts w:eastAsia="Times New Roman"/>
          <w:sz w:val="22"/>
          <w:szCs w:val="22"/>
          <w:lang w:val="id-ID"/>
        </w:rPr>
        <w:fldChar w:fldCharType="begin"/>
      </w:r>
      <w:r w:rsidR="00B51C4F" w:rsidRPr="00781948">
        <w:rPr>
          <w:rFonts w:eastAsia="Times New Roman"/>
          <w:sz w:val="22"/>
          <w:szCs w:val="22"/>
          <w:lang w:val="id-ID"/>
        </w:rPr>
        <w:instrText xml:space="preserve"> ADDIN ZOTERO_ITEM CSL_CITATION {"citationID":"mk9Z9TL2","properties":{"formattedCitation":"(Pratama dkk., 2023)","plainCitation":"(Pratama dkk., 2023)","dontUpdate":true,"noteIndex":0},"citationItems":[{"id":"n67l8Wxv/aOfSDo6f","uris":["http://zotero.org/users/local/aclxgGd8/items/DJHK86LW"],"itemData":{"id":149,"type":"article-journal","abstract":"Gunung Tunak Natural Tourism Park (TWA Gunung Tunak) is a conservation area developed as a tourist area with the concept of community-based eco-tourism. Including as a buffer destination for the sustainability of the Mandalika special economic zone (KEK Mandalika) so that it must have good and sustainable management. This study aims to explore and assess the sustainability of the management of TWA Gunung Tunak since it was first opened as a tourist destination until now. This study uses a qualitative approach with content analysis. Data obtained through observation, in-depth interviews and document study. The findings of this study are divided into two categories, namely the strongest potential and participatory management. The potential of TWA Gunung Tunak has been managed with an integrated collaborative approach through the local community's Tunak Besopok forum. Management of diversity of flora and fauna is preserved with a strong socio-cultural culture of the community. Participatory management involving elements of the local community supports the sustainable management of TWA Gunung Tunak.","container-title":"Target: Jurnal Manajemen dan Bisnis","DOI":"10.30812/target.v5i1.2881","ISSN":"2715-9361","issue":"1","journalAbbreviation":"Manajemen dan Bisnis","license":"http://creativecommons.org/licenses/by/4.0","page":"39-46","source":"DOI.org (Crossref)","title":"Potret Pengelolaan Berkelanjutan Taman Wisata Alam Gunung Tunak Kabupaten Lombok Tengah","volume":"5","author":[{"family":"Pratama","given":"Aryan Agus"},{"family":"Alpiansah","given":"Restu"},{"family":"Yuliana","given":"Ika"},{"family":"Hermanto","given":"Agus"}],"issued":{"date-parts":[["2023",7,3]]}}}],"schema":"https://github.com/citation-style-language/schema/raw/master/csl-citation.json"} </w:instrText>
      </w:r>
      <w:r w:rsidRPr="00781948">
        <w:rPr>
          <w:rFonts w:eastAsia="Times New Roman"/>
          <w:sz w:val="22"/>
          <w:szCs w:val="22"/>
          <w:lang w:val="id-ID"/>
        </w:rPr>
        <w:fldChar w:fldCharType="separate"/>
      </w:r>
      <w:r w:rsidRPr="00781948">
        <w:rPr>
          <w:sz w:val="22"/>
          <w:szCs w:val="22"/>
          <w:lang w:val="id-ID"/>
        </w:rPr>
        <w:t>(Pratama et al., 2023)</w:t>
      </w:r>
      <w:r w:rsidRPr="00781948">
        <w:rPr>
          <w:rFonts w:eastAsia="Times New Roman"/>
          <w:sz w:val="22"/>
          <w:szCs w:val="22"/>
          <w:lang w:val="id-ID"/>
        </w:rPr>
        <w:fldChar w:fldCharType="end"/>
      </w:r>
      <w:r w:rsidRPr="00781948">
        <w:rPr>
          <w:rFonts w:eastAsia="Times New Roman"/>
          <w:sz w:val="22"/>
          <w:szCs w:val="22"/>
          <w:lang w:val="id-ID"/>
        </w:rPr>
        <w:t xml:space="preserve">. The topography of the Mount Tunak TWA varies from gentle to steep elevation ranging from 0-105 meters above sea level, and consisting of gentle coastal plains to rows of hills </w:t>
      </w:r>
      <w:r w:rsidRPr="00781948">
        <w:rPr>
          <w:rFonts w:eastAsia="Times New Roman"/>
          <w:sz w:val="22"/>
          <w:szCs w:val="22"/>
          <w:lang w:val="id-ID"/>
        </w:rPr>
        <w:fldChar w:fldCharType="begin"/>
      </w:r>
      <w:r w:rsidR="00B51C4F" w:rsidRPr="00781948">
        <w:rPr>
          <w:rFonts w:eastAsia="Times New Roman"/>
          <w:sz w:val="22"/>
          <w:szCs w:val="22"/>
          <w:lang w:val="id-ID"/>
        </w:rPr>
        <w:instrText xml:space="preserve"> ADDIN ZOTERO_ITEM CSL_CITATION {"citationID":"yTCO8MbY","properties":{"formattedCitation":"(Elina &amp; Mayana, 2019)","plainCitation":"(Elina &amp; Mayana, 2019)","noteIndex":0},"citationItems":[{"id":"n67l8Wxv/lB5S7NeG","uris":["http://zotero.org/users/local/aclxgGd8/items/YAAIRIL5"],"itemData":{"id":151,"type":"article-journal","abstract":"Penelitian ini mengkaji tentang potensi wisata di taman wisata alam gunung tunak. Oleh karenanya, berkaitan dengan hal tersebut studi ini mendeskripsikan hal-hal yang terkait dengan potensi objek wisata yang ada di taman wisata alam gunung tunak ini. Penelitian ini menggunakan metode kualitatif dengan data primer  . Data diperoleh dari wawancara dan dokumentasi.  Peneliti menuliskan bahwa TWA gunung tunak ini merupakan daerah wisata yang dikelola oleh balai KSDA NTB bekerja sama dengan Negara Korea.  KOREA COOPERATION memberikan sumbangsihnya terhadap peningkatan jumlah pariwisata di NTB yang menjadi ikon untuk berwisata. Pariwisata diharapkan mampu memberikan dampak yang positif bagi dunia pariwisata Indonesia secara khusus untuk provinsi NTB yang banyak memiliki tempat wisata yang indah salah satunya Taman wisata alam gunung tunak yang berada di Desa Mertak  Kecamatan Pujut, Kabupaten Lombok Tengah.","container-title":"JURNAL SOSIAL EKONOMI DAN HUMANIORA","DOI":"10.29303/jseh.v5i2.40","ISSN":"2461-0720, 2461-0666","issue":"2","journalAbbreviation":"jseh","page":"134-139","source":"DOI.org (Crossref)","title":"POTENSI OBYEK WISATA TAMAN WISATA ALAM GUNUNG TUNAK","volume":"5","author":[{"family":"Elina","given":"Cahyani"},{"family":"Mayana","given":"Ersya"}],"issued":{"date-parts":[["2019",12,30]]}}}],"schema":"https://github.com/citation-style-language/schema/raw/master/csl-citation.json"} </w:instrText>
      </w:r>
      <w:r w:rsidRPr="00781948">
        <w:rPr>
          <w:rFonts w:eastAsia="Times New Roman"/>
          <w:sz w:val="22"/>
          <w:szCs w:val="22"/>
          <w:lang w:val="id-ID"/>
        </w:rPr>
        <w:fldChar w:fldCharType="separate"/>
      </w:r>
      <w:r w:rsidR="00B51C4F" w:rsidRPr="00781948">
        <w:rPr>
          <w:sz w:val="22"/>
          <w:lang w:val="id-ID"/>
        </w:rPr>
        <w:t>(Elina &amp; Mayana, 2019)</w:t>
      </w:r>
      <w:r w:rsidRPr="00781948">
        <w:rPr>
          <w:rFonts w:eastAsia="Times New Roman"/>
          <w:sz w:val="22"/>
          <w:szCs w:val="22"/>
          <w:lang w:val="id-ID"/>
        </w:rPr>
        <w:fldChar w:fldCharType="end"/>
      </w:r>
      <w:r w:rsidRPr="00781948">
        <w:rPr>
          <w:rFonts w:eastAsia="Times New Roman"/>
          <w:sz w:val="22"/>
          <w:szCs w:val="22"/>
          <w:lang w:val="id-ID"/>
        </w:rPr>
        <w:t xml:space="preserve">. Its primary function is nature conservation, with an emphasis on ecotourism due to its picturesque coastal landscapes. The strategic location of TWA Gunung Tunak, situated within the Special Economic Zone (KEK) of Mandalika, underscores its importance as a complementary destination, supporting the sustainability of tourism on Lombok Island </w:t>
      </w:r>
      <w:r w:rsidRPr="00781948">
        <w:rPr>
          <w:rFonts w:eastAsia="Times New Roman"/>
          <w:sz w:val="22"/>
          <w:szCs w:val="22"/>
          <w:lang w:val="id-ID"/>
        </w:rPr>
        <w:fldChar w:fldCharType="begin"/>
      </w:r>
      <w:r w:rsidR="00B51C4F" w:rsidRPr="00781948">
        <w:rPr>
          <w:rFonts w:eastAsia="Times New Roman"/>
          <w:sz w:val="22"/>
          <w:szCs w:val="22"/>
          <w:lang w:val="id-ID"/>
        </w:rPr>
        <w:instrText xml:space="preserve"> ADDIN ZOTERO_ITEM CSL_CITATION {"citationID":"Pyn6mNt0","properties":{"formattedCitation":"(Pratama et al., 2023)","plainCitation":"(Pratama et al., 2023)","noteIndex":0},"citationItems":[{"id":"n67l8Wxv/aOfSDo6f","uris":["http://zotero.org/users/local/aclxgGd8/items/DJHK86LW"],"itemData":{"id":149,"type":"article-journal","abstract":"Gunung Tunak Natural Tourism Park (TWA Gunung Tunak) is a conservation area developed as a tourist area with the concept of community-based eco-tourism. Including as a buffer destination for the sustainability of the Mandalika special economic zone (KEK Mandalika) so that it must have good and sustainable management. This study aims to explore and assess the sustainability of the management of TWA Gunung Tunak since it was first opened as a tourist destination until now. This study uses a qualitative approach with content analysis. Data obtained through observation, in-depth interviews and document study. The findings of this study are divided into two categories, namely the strongest potential and participatory management. The potential of TWA Gunung Tunak has been managed with an integrated collaborative approach through the local community's Tunak Besopok forum. Management of diversity of flora and fauna is preserved with a strong socio-cultural culture of the community. Participatory management involving elements of the local community supports the sustainable management of TWA Gunung Tunak.","container-title":"Target: Jurnal Manajemen dan Bisnis","DOI":"10.30812/target.v5i1.2881","ISSN":"2715-9361","issue":"1","journalAbbreviation":"Manajemen dan Bisnis","license":"http://creativecommons.org/licenses/by/4.0","page":"39-46","source":"DOI.org (Crossref)","title":"Potret Pengelolaan Berkelanjutan Taman Wisata Alam Gunung Tunak Kabupaten Lombok Tengah","volume":"5","author":[{"family":"Pratama","given":"Aryan Agus"},{"family":"Alpiansah","given":"Restu"},{"family":"Yuliana","given":"Ika"},{"family":"Hermanto","given":"Agus"}],"issued":{"date-parts":[["2023",7,3]]}}}],"schema":"https://github.com/citation-style-language/schema/raw/master/csl-citation.json"} </w:instrText>
      </w:r>
      <w:r w:rsidRPr="00781948">
        <w:rPr>
          <w:rFonts w:eastAsia="Times New Roman"/>
          <w:sz w:val="22"/>
          <w:szCs w:val="22"/>
          <w:lang w:val="id-ID"/>
        </w:rPr>
        <w:fldChar w:fldCharType="separate"/>
      </w:r>
      <w:r w:rsidR="00B51C4F" w:rsidRPr="00781948">
        <w:rPr>
          <w:sz w:val="22"/>
          <w:lang w:val="id-ID"/>
        </w:rPr>
        <w:t>(Pratama et al., 2023)</w:t>
      </w:r>
      <w:r w:rsidRPr="00781948">
        <w:rPr>
          <w:rFonts w:eastAsia="Times New Roman"/>
          <w:sz w:val="22"/>
          <w:szCs w:val="22"/>
          <w:lang w:val="id-ID"/>
        </w:rPr>
        <w:fldChar w:fldCharType="end"/>
      </w:r>
      <w:hyperlink r:id="rId18" w:history="1"/>
      <w:r w:rsidRPr="00781948">
        <w:rPr>
          <w:rFonts w:eastAsia="Times New Roman"/>
          <w:sz w:val="22"/>
          <w:szCs w:val="22"/>
          <w:lang w:val="id-ID"/>
        </w:rPr>
        <w:t>.</w:t>
      </w:r>
    </w:p>
    <w:p w14:paraId="4BFBC5D3" w14:textId="77777777" w:rsidR="00C666AF" w:rsidRPr="00781948" w:rsidRDefault="00000000" w:rsidP="00781C75">
      <w:pPr>
        <w:widowControl w:val="0"/>
        <w:ind w:firstLine="540"/>
        <w:jc w:val="both"/>
        <w:rPr>
          <w:spacing w:val="4"/>
          <w:sz w:val="22"/>
          <w:szCs w:val="22"/>
          <w:lang w:val="id-ID"/>
        </w:rPr>
      </w:pPr>
      <w:r w:rsidRPr="00781948">
        <w:rPr>
          <w:rFonts w:eastAsia="Times New Roman"/>
          <w:sz w:val="22"/>
          <w:szCs w:val="22"/>
          <w:lang w:val="id-ID"/>
        </w:rPr>
        <w:t>The designation of TWA Gunung Tunak as an ecotourism area raises concerns about potential impacts on the local organisms. Currently, there is a significant lack of documented information regarding the diversity and potential of macrofungi within this protected area. Consequently, this study aims to determine the diversity of macrofungi and assess the potential application of macrofungi found in TWA Gunung Tunak</w:t>
      </w:r>
      <w:r w:rsidRPr="00781948">
        <w:rPr>
          <w:spacing w:val="4"/>
          <w:sz w:val="22"/>
          <w:szCs w:val="22"/>
          <w:lang w:val="id-ID"/>
        </w:rPr>
        <w:t>.</w:t>
      </w:r>
    </w:p>
    <w:p w14:paraId="14E11615" w14:textId="77777777" w:rsidR="00C666AF" w:rsidRPr="00781948" w:rsidRDefault="00C666AF">
      <w:pPr>
        <w:widowControl w:val="0"/>
        <w:autoSpaceDE w:val="0"/>
        <w:autoSpaceDN w:val="0"/>
        <w:adjustRightInd w:val="0"/>
        <w:ind w:firstLine="720"/>
        <w:jc w:val="both"/>
        <w:rPr>
          <w:spacing w:val="4"/>
          <w:sz w:val="22"/>
          <w:szCs w:val="22"/>
          <w:lang w:val="id-ID"/>
        </w:rPr>
      </w:pPr>
    </w:p>
    <w:p w14:paraId="1A18E2B9" w14:textId="77777777" w:rsidR="00C666AF" w:rsidRPr="00781948" w:rsidRDefault="00000000">
      <w:pPr>
        <w:widowControl w:val="0"/>
        <w:autoSpaceDE w:val="0"/>
        <w:autoSpaceDN w:val="0"/>
        <w:adjustRightInd w:val="0"/>
        <w:jc w:val="both"/>
        <w:rPr>
          <w:b/>
          <w:sz w:val="22"/>
          <w:szCs w:val="22"/>
          <w:lang w:val="id-ID"/>
        </w:rPr>
      </w:pPr>
      <w:r w:rsidRPr="00781948">
        <w:rPr>
          <w:b/>
          <w:sz w:val="22"/>
          <w:szCs w:val="22"/>
          <w:lang w:val="id-ID"/>
        </w:rPr>
        <w:t>Material and Method</w:t>
      </w:r>
    </w:p>
    <w:p w14:paraId="47BE846F" w14:textId="77777777" w:rsidR="00C666AF" w:rsidRPr="00781948" w:rsidRDefault="00C666AF">
      <w:pPr>
        <w:widowControl w:val="0"/>
        <w:autoSpaceDE w:val="0"/>
        <w:autoSpaceDN w:val="0"/>
        <w:adjustRightInd w:val="0"/>
        <w:jc w:val="both"/>
        <w:rPr>
          <w:b/>
          <w:sz w:val="22"/>
          <w:szCs w:val="22"/>
          <w:lang w:val="id-ID"/>
        </w:rPr>
      </w:pPr>
    </w:p>
    <w:p w14:paraId="72EB7D20" w14:textId="77777777" w:rsidR="00C666AF" w:rsidRPr="00781948" w:rsidRDefault="00000000">
      <w:pPr>
        <w:widowControl w:val="0"/>
        <w:autoSpaceDE w:val="0"/>
        <w:autoSpaceDN w:val="0"/>
        <w:adjustRightInd w:val="0"/>
        <w:jc w:val="both"/>
        <w:rPr>
          <w:b/>
          <w:sz w:val="22"/>
          <w:szCs w:val="22"/>
          <w:lang w:val="id-ID"/>
        </w:rPr>
      </w:pPr>
      <w:r w:rsidRPr="00781948">
        <w:rPr>
          <w:b/>
          <w:sz w:val="22"/>
          <w:szCs w:val="22"/>
          <w:lang w:val="id-ID"/>
        </w:rPr>
        <w:t>Sampling Method</w:t>
      </w:r>
    </w:p>
    <w:p w14:paraId="4F2C168E" w14:textId="77777777" w:rsidR="00C666AF" w:rsidRPr="00781948" w:rsidRDefault="00000000" w:rsidP="00781C75">
      <w:pPr>
        <w:widowControl w:val="0"/>
        <w:ind w:firstLine="540"/>
        <w:jc w:val="both"/>
        <w:rPr>
          <w:sz w:val="22"/>
          <w:szCs w:val="22"/>
          <w:lang w:val="id-ID"/>
        </w:rPr>
      </w:pPr>
      <w:r w:rsidRPr="00781948">
        <w:rPr>
          <w:rFonts w:eastAsia="Times New Roman"/>
          <w:sz w:val="22"/>
          <w:szCs w:val="22"/>
          <w:lang w:val="id-ID"/>
        </w:rPr>
        <w:t xml:space="preserve">This study was conducted in TWA Gunung Tunak from </w:t>
      </w:r>
      <w:r w:rsidRPr="00781948">
        <w:rPr>
          <w:rFonts w:eastAsia="Times New Roman"/>
          <w:sz w:val="22"/>
          <w:szCs w:val="22"/>
          <w:lang w:val="id-ID" w:eastAsia="id-ID"/>
        </w:rPr>
        <w:t>June</w:t>
      </w:r>
      <w:r w:rsidRPr="00781948">
        <w:rPr>
          <w:rFonts w:eastAsia="Times New Roman"/>
          <w:sz w:val="22"/>
          <w:szCs w:val="22"/>
          <w:lang w:val="id-ID"/>
        </w:rPr>
        <w:t xml:space="preserve"> to November 2024. Sampling was carried out using line transect and plot method in the TWA Gunung Tunak. Samples were collected along 3 trails within the study area. Each trail consisted of 10 plots measuring 10 x 10 m with and spaced 10 meters apart</w:t>
      </w:r>
      <w:r w:rsidRPr="00781948">
        <w:rPr>
          <w:sz w:val="22"/>
          <w:szCs w:val="22"/>
          <w:lang w:val="id-ID"/>
        </w:rPr>
        <w:t>.</w:t>
      </w:r>
    </w:p>
    <w:p w14:paraId="696A2F02" w14:textId="77777777" w:rsidR="00C666AF" w:rsidRPr="002C5189" w:rsidRDefault="00000000">
      <w:pPr>
        <w:pStyle w:val="BodyText"/>
        <w:spacing w:after="0" w:line="240" w:lineRule="auto"/>
        <w:ind w:firstLine="0"/>
        <w:rPr>
          <w:lang w:val="id-ID"/>
        </w:rPr>
      </w:pPr>
      <w:r w:rsidRPr="002C5189">
        <w:rPr>
          <w:rFonts w:eastAsia="Times New Roman"/>
          <w:noProof/>
          <w:lang w:val="id-ID"/>
        </w:rPr>
        <w:drawing>
          <wp:inline distT="0" distB="0" distL="0" distR="0" wp14:anchorId="4DCBC041" wp14:editId="02D7D707">
            <wp:extent cx="2743200" cy="1501254"/>
            <wp:effectExtent l="0" t="0" r="0" b="3810"/>
            <wp:docPr id="1026" name="Picture 1" descr="A map of a countr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cstate="print"/>
                    <a:srcRect/>
                    <a:stretch/>
                  </pic:blipFill>
                  <pic:spPr>
                    <a:xfrm>
                      <a:off x="0" y="0"/>
                      <a:ext cx="2758430" cy="1509589"/>
                    </a:xfrm>
                    <a:prstGeom prst="rect">
                      <a:avLst/>
                    </a:prstGeom>
                  </pic:spPr>
                </pic:pic>
              </a:graphicData>
            </a:graphic>
          </wp:inline>
        </w:drawing>
      </w:r>
    </w:p>
    <w:p w14:paraId="299A4F5F" w14:textId="77777777" w:rsidR="00C666AF" w:rsidRPr="002C5189" w:rsidRDefault="00000000">
      <w:pPr>
        <w:jc w:val="center"/>
        <w:rPr>
          <w:rFonts w:eastAsia="Times New Roman"/>
          <w:sz w:val="20"/>
          <w:szCs w:val="20"/>
          <w:lang w:val="id-ID"/>
        </w:rPr>
      </w:pPr>
      <w:r w:rsidRPr="002C5189">
        <w:rPr>
          <w:rFonts w:eastAsia="Times New Roman"/>
          <w:b/>
          <w:bCs/>
          <w:sz w:val="20"/>
          <w:szCs w:val="20"/>
          <w:lang w:val="id-ID"/>
        </w:rPr>
        <w:t>Figure 1.</w:t>
      </w:r>
      <w:r w:rsidRPr="002C5189">
        <w:rPr>
          <w:rFonts w:eastAsia="Times New Roman"/>
          <w:sz w:val="20"/>
          <w:szCs w:val="20"/>
          <w:lang w:val="id-ID"/>
        </w:rPr>
        <w:t xml:space="preserve"> Study area of TWA Gunung Tunak</w:t>
      </w:r>
    </w:p>
    <w:p w14:paraId="7EA52AE7" w14:textId="77777777" w:rsidR="00C666AF" w:rsidRPr="00781948" w:rsidRDefault="00C666AF">
      <w:pPr>
        <w:rPr>
          <w:rFonts w:eastAsia="Times New Roman"/>
          <w:sz w:val="22"/>
          <w:szCs w:val="22"/>
          <w:lang w:val="id-ID"/>
        </w:rPr>
      </w:pPr>
    </w:p>
    <w:p w14:paraId="216BCE70" w14:textId="77777777" w:rsidR="00C666AF" w:rsidRPr="00781948" w:rsidRDefault="00000000">
      <w:pPr>
        <w:rPr>
          <w:rFonts w:eastAsia="Times New Roman"/>
          <w:b/>
          <w:bCs/>
          <w:sz w:val="22"/>
          <w:szCs w:val="22"/>
          <w:lang w:val="id-ID"/>
        </w:rPr>
      </w:pPr>
      <w:r w:rsidRPr="00781948">
        <w:rPr>
          <w:rFonts w:eastAsia="Times New Roman"/>
          <w:b/>
          <w:bCs/>
          <w:sz w:val="22"/>
          <w:szCs w:val="22"/>
          <w:lang w:val="id-ID"/>
        </w:rPr>
        <w:t xml:space="preserve">Macrofungal Identification </w:t>
      </w:r>
    </w:p>
    <w:p w14:paraId="6138A9E3" w14:textId="77777777" w:rsidR="00C666AF" w:rsidRPr="00781948" w:rsidRDefault="00000000" w:rsidP="00781C75">
      <w:pPr>
        <w:widowControl w:val="0"/>
        <w:ind w:firstLine="540"/>
        <w:jc w:val="both"/>
        <w:rPr>
          <w:rFonts w:eastAsia="Times New Roman"/>
          <w:sz w:val="22"/>
          <w:szCs w:val="22"/>
          <w:lang w:val="id-ID"/>
        </w:rPr>
      </w:pPr>
      <w:r w:rsidRPr="00781948">
        <w:rPr>
          <w:rFonts w:eastAsia="Times New Roman"/>
          <w:sz w:val="22"/>
          <w:szCs w:val="22"/>
          <w:lang w:val="id-ID"/>
        </w:rPr>
        <w:t>Within the designated plot, all observed macrofungi were documented through photographs taken in their natural habitats, along with the number of individuals of each species present. Representative samples of macrofungi were collected by extracting the entire fruiting body with a small portion of the substrate. The collected specimens were then placed in specimen boxes for further identification. The identification of the macrofungal samples based on morphological features of the pileus, stipe, lamellae, annulus, and volva. The collected fruiting bodies were subjected to a drying process for herbarium. The identification was achieved by comparing the observed morphological characteristics with published taxonomic descriptions and illustrations found in relevant scientific journals and confirmed through Species Fungorum website.</w:t>
      </w:r>
    </w:p>
    <w:p w14:paraId="55DA4E3E" w14:textId="77777777" w:rsidR="00C666AF" w:rsidRPr="00781948" w:rsidRDefault="00C666AF">
      <w:pPr>
        <w:pStyle w:val="BodyText"/>
        <w:spacing w:after="0" w:line="240" w:lineRule="auto"/>
        <w:ind w:firstLine="0"/>
        <w:rPr>
          <w:rFonts w:eastAsia="Times New Roman"/>
          <w:sz w:val="22"/>
          <w:szCs w:val="22"/>
          <w:lang w:val="id-ID"/>
        </w:rPr>
      </w:pPr>
    </w:p>
    <w:p w14:paraId="32F88621" w14:textId="77777777" w:rsidR="00C666AF" w:rsidRPr="00781948" w:rsidRDefault="00000000">
      <w:pPr>
        <w:pStyle w:val="BodyText"/>
        <w:spacing w:after="0" w:line="240" w:lineRule="auto"/>
        <w:ind w:firstLine="0"/>
        <w:rPr>
          <w:rFonts w:eastAsia="Times New Roman"/>
          <w:b/>
          <w:bCs/>
          <w:sz w:val="22"/>
          <w:szCs w:val="22"/>
          <w:lang w:val="id-ID"/>
        </w:rPr>
      </w:pPr>
      <w:r w:rsidRPr="00781948">
        <w:rPr>
          <w:rFonts w:eastAsia="Times New Roman"/>
          <w:b/>
          <w:bCs/>
          <w:sz w:val="22"/>
          <w:szCs w:val="22"/>
          <w:lang w:val="id-ID"/>
        </w:rPr>
        <w:t>Data Analysis</w:t>
      </w:r>
    </w:p>
    <w:p w14:paraId="0AD539BB" w14:textId="7AAACB1F" w:rsidR="00C666AF" w:rsidRPr="00781948" w:rsidRDefault="00000000" w:rsidP="002C5189">
      <w:pPr>
        <w:widowControl w:val="0"/>
        <w:ind w:firstLine="540"/>
        <w:jc w:val="both"/>
        <w:rPr>
          <w:rFonts w:eastAsia="Times New Roman"/>
          <w:sz w:val="22"/>
          <w:szCs w:val="22"/>
          <w:lang w:val="id-ID"/>
        </w:rPr>
      </w:pPr>
      <w:r w:rsidRPr="00781948">
        <w:rPr>
          <w:rFonts w:eastAsia="Times New Roman"/>
          <w:sz w:val="22"/>
          <w:szCs w:val="22"/>
          <w:lang w:val="id-ID"/>
        </w:rPr>
        <w:t xml:space="preserve">The collected data was analyzed using the Shannon Wiener Diversity Index (H’). The Shannon-Wiener Index was calculated using the formula proposed by </w:t>
      </w:r>
      <w:r w:rsidRPr="00781948">
        <w:rPr>
          <w:rFonts w:eastAsia="Times New Roman"/>
          <w:sz w:val="22"/>
          <w:szCs w:val="22"/>
          <w:lang w:val="id-ID"/>
        </w:rPr>
        <w:fldChar w:fldCharType="begin"/>
      </w:r>
      <w:r w:rsidR="00B51C4F" w:rsidRPr="00781948">
        <w:rPr>
          <w:rFonts w:eastAsia="Times New Roman"/>
          <w:sz w:val="22"/>
          <w:szCs w:val="22"/>
          <w:lang w:val="id-ID"/>
        </w:rPr>
        <w:instrText xml:space="preserve"> ADDIN ZOTERO_ITEM CSL_CITATION {"citationID":"zGwUF6Op","properties":{"formattedCitation":"(Margalef, 1964)","plainCitation":"(Margalef, 1964)","noteIndex":0},"citationItems":[{"id":"n67l8Wxv/gykvFocP","uris":["http://zotero.org/users/local/aclxgGd8/items/BCMCETL7"],"itemData":{"id":153,"type":"article-journal","container-title":"SIL Proceedings, 1922-2010","DOI":"10.1080/03680770.1962.11895518","ISSN":"0368-0770","issue":"1","journalAbbreviation":"SIL Proceedings, 1922-2010","language":"en","page":"169-175","source":"DOI.org (Crossref)","title":"Correspondence between the classic types of lakes and the structural and dynamic properties of their populations: With l figure and 2 tables in the text","title-short":"Correspondence between the classic types of lakes and the structural and dynamic properties of their populations","volume":"15","author":[{"family":"Margalef","given":"Ramón"}],"issued":{"date-parts":[["1964",2]]}}}],"schema":"https://github.com/citation-style-language/schema/raw/master/csl-citation.json"} </w:instrText>
      </w:r>
      <w:r w:rsidRPr="00781948">
        <w:rPr>
          <w:rFonts w:eastAsia="Times New Roman"/>
          <w:sz w:val="22"/>
          <w:szCs w:val="22"/>
          <w:lang w:val="id-ID"/>
        </w:rPr>
        <w:fldChar w:fldCharType="separate"/>
      </w:r>
      <w:r w:rsidR="00B51C4F" w:rsidRPr="00781948">
        <w:rPr>
          <w:sz w:val="22"/>
          <w:lang w:val="id-ID"/>
        </w:rPr>
        <w:t>(Margalef, 1964)</w:t>
      </w:r>
      <w:r w:rsidRPr="00781948">
        <w:rPr>
          <w:rFonts w:eastAsia="Times New Roman"/>
          <w:sz w:val="22"/>
          <w:szCs w:val="22"/>
          <w:lang w:val="id-ID"/>
        </w:rPr>
        <w:fldChar w:fldCharType="end"/>
      </w:r>
      <w:r w:rsidRPr="00781948">
        <w:rPr>
          <w:rFonts w:eastAsia="Times New Roman"/>
          <w:sz w:val="22"/>
          <w:szCs w:val="22"/>
          <w:lang w:val="id-ID"/>
        </w:rPr>
        <w:t xml:space="preserve">. </w:t>
      </w:r>
    </w:p>
    <w:bookmarkStart w:id="54" w:name="_Hlk191830219"/>
    <w:p w14:paraId="31147741" w14:textId="77777777" w:rsidR="00C666AF" w:rsidRPr="00781948" w:rsidRDefault="00000000">
      <w:pPr>
        <w:ind w:firstLine="720"/>
        <w:jc w:val="both"/>
        <w:rPr>
          <w:rFonts w:eastAsia="Times New Roman"/>
          <w:sz w:val="22"/>
          <w:szCs w:val="22"/>
          <w:lang w:val="id-ID"/>
        </w:rPr>
      </w:pPr>
      <m:oMathPara>
        <m:oMathParaPr>
          <m:jc m:val="center"/>
        </m:oMathParaPr>
        <m:oMath>
          <m:sSup>
            <m:sSupPr>
              <m:ctrlPr>
                <w:rPr>
                  <w:rFonts w:ascii="Cambria Math" w:eastAsia="Times New Roman" w:hAnsi="Cambria Math"/>
                  <w:i/>
                  <w:sz w:val="22"/>
                  <w:szCs w:val="22"/>
                  <w:lang w:val="id-ID"/>
                </w:rPr>
              </m:ctrlPr>
            </m:sSupPr>
            <m:e>
              <m:r>
                <w:rPr>
                  <w:rFonts w:ascii="Cambria Math" w:eastAsia="Times New Roman" w:hAnsi="Cambria Math"/>
                  <w:sz w:val="22"/>
                  <w:szCs w:val="22"/>
                  <w:lang w:val="id-ID"/>
                </w:rPr>
                <m:t>H</m:t>
              </m:r>
            </m:e>
            <m:sup>
              <m:r>
                <w:rPr>
                  <w:rFonts w:ascii="Cambria Math" w:eastAsia="Times New Roman" w:hAnsi="Cambria Math"/>
                  <w:sz w:val="22"/>
                  <w:szCs w:val="22"/>
                  <w:lang w:val="id-ID"/>
                </w:rPr>
                <m:t>'</m:t>
              </m:r>
            </m:sup>
          </m:sSup>
          <m:r>
            <w:rPr>
              <w:rFonts w:ascii="Cambria Math" w:eastAsia="Times New Roman" w:hAnsi="Cambria Math"/>
              <w:sz w:val="22"/>
              <w:szCs w:val="22"/>
              <w:lang w:val="id-ID"/>
            </w:rPr>
            <m:t>=</m:t>
          </m:r>
          <m:nary>
            <m:naryPr>
              <m:chr m:val="∑"/>
              <m:limLoc m:val="undOvr"/>
              <m:ctrlPr>
                <w:rPr>
                  <w:rFonts w:ascii="Cambria Math" w:eastAsia="Times New Roman" w:hAnsi="Cambria Math"/>
                  <w:i/>
                  <w:sz w:val="22"/>
                  <w:szCs w:val="22"/>
                  <w:lang w:val="id-ID" w:eastAsia="zh-CN"/>
                </w:rPr>
              </m:ctrlPr>
            </m:naryPr>
            <m:sub>
              <m:r>
                <w:rPr>
                  <w:rFonts w:ascii="Cambria Math" w:eastAsia="Times New Roman" w:hAnsi="Cambria Math"/>
                  <w:sz w:val="22"/>
                  <w:szCs w:val="22"/>
                  <w:lang w:val="id-ID"/>
                </w:rPr>
                <m:t>i=1</m:t>
              </m:r>
            </m:sub>
            <m:sup>
              <m:r>
                <w:rPr>
                  <w:rFonts w:ascii="Cambria Math" w:eastAsia="Times New Roman" w:hAnsi="Cambria Math"/>
                  <w:sz w:val="22"/>
                  <w:szCs w:val="22"/>
                  <w:lang w:val="id-ID"/>
                </w:rPr>
                <m:t>s</m:t>
              </m:r>
            </m:sup>
            <m:e>
              <m:r>
                <w:rPr>
                  <w:rFonts w:ascii="Cambria Math" w:eastAsia="Times New Roman" w:hAnsi="Cambria Math"/>
                  <w:sz w:val="22"/>
                  <w:szCs w:val="22"/>
                  <w:lang w:val="id-ID"/>
                </w:rPr>
                <m:t>Pi</m:t>
              </m:r>
              <m:func>
                <m:funcPr>
                  <m:ctrlPr>
                    <w:rPr>
                      <w:rFonts w:ascii="Cambria Math" w:eastAsia="Times New Roman" w:hAnsi="Cambria Math"/>
                      <w:i/>
                      <w:sz w:val="22"/>
                      <w:szCs w:val="22"/>
                      <w:lang w:val="id-ID"/>
                    </w:rPr>
                  </m:ctrlPr>
                </m:funcPr>
                <m:fName>
                  <m:r>
                    <m:rPr>
                      <m:sty m:val="p"/>
                    </m:rPr>
                    <w:rPr>
                      <w:rFonts w:ascii="Cambria Math" w:eastAsia="Times New Roman" w:hAnsi="Cambria Math"/>
                      <w:sz w:val="22"/>
                      <w:szCs w:val="22"/>
                      <w:lang w:val="id-ID"/>
                    </w:rPr>
                    <m:t>ln</m:t>
                  </m:r>
                </m:fName>
                <m:e>
                  <m:r>
                    <w:rPr>
                      <w:rFonts w:ascii="Cambria Math" w:eastAsia="Times New Roman" w:hAnsi="Cambria Math"/>
                      <w:sz w:val="22"/>
                      <w:szCs w:val="22"/>
                      <w:lang w:val="id-ID"/>
                    </w:rPr>
                    <m:t>Pi</m:t>
                  </m:r>
                </m:e>
              </m:func>
            </m:e>
          </m:nary>
        </m:oMath>
      </m:oMathPara>
    </w:p>
    <w:bookmarkEnd w:id="54"/>
    <w:p w14:paraId="48165802" w14:textId="77777777" w:rsidR="00C666AF" w:rsidRPr="00781948" w:rsidRDefault="00000000" w:rsidP="002C5189">
      <w:pPr>
        <w:widowControl w:val="0"/>
        <w:ind w:firstLine="540"/>
        <w:jc w:val="both"/>
        <w:rPr>
          <w:rFonts w:eastAsia="Times New Roman"/>
          <w:sz w:val="22"/>
          <w:szCs w:val="22"/>
          <w:lang w:val="id-ID"/>
        </w:rPr>
      </w:pPr>
      <w:r w:rsidRPr="00781948">
        <w:rPr>
          <w:rFonts w:eastAsia="Times New Roman"/>
          <w:sz w:val="22"/>
          <w:szCs w:val="22"/>
          <w:lang w:val="id-ID"/>
        </w:rPr>
        <w:t>H’ is the Shannon-Wiener diversity index. Pi (∑ni/N) is the total number of all species, n is the number of individuals of the species, and N is the total number of individuals of all species. s. The interpretation of the diversity index value as follows: H’ ≤ 1= Low diversity; 1&lt; H’ ≤ 3= Moderate diversity, and H’ ≥ 3 = High diversity. The index provides a measure of macrofungal richness as an indicator of the overall macrofungal diversity in TWA Gunung Tunak.</w:t>
      </w:r>
    </w:p>
    <w:p w14:paraId="1C3B1BB9" w14:textId="77777777" w:rsidR="00C666AF" w:rsidRDefault="00C666AF">
      <w:pPr>
        <w:pStyle w:val="BodyText"/>
        <w:spacing w:after="0" w:line="240" w:lineRule="auto"/>
        <w:ind w:firstLine="0"/>
        <w:rPr>
          <w:b/>
          <w:bCs/>
          <w:sz w:val="22"/>
          <w:szCs w:val="22"/>
          <w:lang w:val="id-ID"/>
        </w:rPr>
      </w:pPr>
    </w:p>
    <w:p w14:paraId="13D84B19" w14:textId="77777777" w:rsidR="002C5189" w:rsidRPr="00781948" w:rsidRDefault="002C5189">
      <w:pPr>
        <w:pStyle w:val="BodyText"/>
        <w:spacing w:after="0" w:line="240" w:lineRule="auto"/>
        <w:ind w:firstLine="0"/>
        <w:rPr>
          <w:b/>
          <w:bCs/>
          <w:sz w:val="22"/>
          <w:szCs w:val="22"/>
          <w:lang w:val="id-ID"/>
        </w:rPr>
      </w:pPr>
    </w:p>
    <w:p w14:paraId="22A33744" w14:textId="77777777" w:rsidR="00C666AF" w:rsidRPr="00781948" w:rsidRDefault="00000000">
      <w:pPr>
        <w:pStyle w:val="BodyText"/>
        <w:spacing w:after="0" w:line="240" w:lineRule="auto"/>
        <w:ind w:firstLine="0"/>
        <w:rPr>
          <w:b/>
          <w:sz w:val="22"/>
          <w:szCs w:val="22"/>
          <w:lang w:val="id-ID"/>
        </w:rPr>
      </w:pPr>
      <w:r w:rsidRPr="00781948">
        <w:rPr>
          <w:b/>
          <w:sz w:val="22"/>
          <w:szCs w:val="22"/>
          <w:lang w:val="id-ID"/>
        </w:rPr>
        <w:lastRenderedPageBreak/>
        <w:t>Results and Discussions</w:t>
      </w:r>
    </w:p>
    <w:p w14:paraId="6A8BE1E0" w14:textId="77777777" w:rsidR="00C666AF" w:rsidRPr="00781948" w:rsidRDefault="00C666AF">
      <w:pPr>
        <w:pStyle w:val="BodyText"/>
        <w:spacing w:after="0" w:line="240" w:lineRule="auto"/>
        <w:ind w:firstLine="0"/>
        <w:rPr>
          <w:b/>
          <w:sz w:val="22"/>
          <w:szCs w:val="22"/>
          <w:lang w:val="id-ID"/>
        </w:rPr>
      </w:pPr>
    </w:p>
    <w:p w14:paraId="136534BB" w14:textId="77777777" w:rsidR="00C666AF" w:rsidRPr="00781948" w:rsidRDefault="00000000">
      <w:pPr>
        <w:pStyle w:val="BodyText"/>
        <w:spacing w:after="0" w:line="240" w:lineRule="auto"/>
        <w:ind w:firstLine="0"/>
        <w:rPr>
          <w:b/>
          <w:sz w:val="22"/>
          <w:szCs w:val="22"/>
          <w:lang w:val="id-ID"/>
        </w:rPr>
      </w:pPr>
      <w:r w:rsidRPr="00781948">
        <w:rPr>
          <w:b/>
          <w:sz w:val="22"/>
          <w:szCs w:val="22"/>
          <w:lang w:val="id-ID"/>
        </w:rPr>
        <w:t>The Diversity of Macrofungi</w:t>
      </w:r>
    </w:p>
    <w:p w14:paraId="2CA4A20E" w14:textId="71B4E07D" w:rsidR="00C666AF" w:rsidRPr="00781948" w:rsidRDefault="002C5189" w:rsidP="00DB0452">
      <w:pPr>
        <w:widowControl w:val="0"/>
        <w:ind w:firstLine="540"/>
        <w:jc w:val="both"/>
        <w:rPr>
          <w:sz w:val="22"/>
          <w:szCs w:val="22"/>
          <w:lang w:val="id-ID"/>
        </w:rPr>
      </w:pPr>
      <w:r w:rsidRPr="00781948">
        <w:rPr>
          <w:sz w:val="22"/>
          <w:szCs w:val="22"/>
          <w:lang w:val="id-ID"/>
        </w:rPr>
        <w:t xml:space="preserve">The study of macrofungal species in TWA Gunung Tunak revealed a total of 11 species belonging to the divisions Basidiomycota and Ascomycota (see Table 1). The majority of the </w:t>
      </w:r>
      <w:r w:rsidRPr="00781948">
        <w:rPr>
          <w:sz w:val="22"/>
          <w:szCs w:val="22"/>
          <w:lang w:val="id-ID"/>
        </w:rPr>
        <w:t xml:space="preserve">identified macrofungi are from the Basidiomycota division, represented by families such as </w:t>
      </w:r>
      <w:r w:rsidRPr="00781948">
        <w:rPr>
          <w:i/>
          <w:iCs/>
          <w:sz w:val="22"/>
          <w:szCs w:val="22"/>
          <w:lang w:val="id-ID"/>
        </w:rPr>
        <w:t>Polyporaceae, Irpicaceae, Hymenochaetaceae, Gloeophyllaceae, and Stereaceae</w:t>
      </w:r>
      <w:r w:rsidRPr="00781948">
        <w:rPr>
          <w:sz w:val="22"/>
          <w:szCs w:val="22"/>
          <w:lang w:val="id-ID"/>
        </w:rPr>
        <w:t xml:space="preserve">. Only one species from the Ascomycota division was found, belonging to the family </w:t>
      </w:r>
      <w:r w:rsidRPr="00781948">
        <w:rPr>
          <w:i/>
          <w:iCs/>
          <w:sz w:val="22"/>
          <w:szCs w:val="22"/>
          <w:lang w:val="id-ID"/>
        </w:rPr>
        <w:t>Xylariaceae</w:t>
      </w:r>
      <w:r w:rsidRPr="00781948">
        <w:rPr>
          <w:sz w:val="22"/>
          <w:szCs w:val="22"/>
          <w:lang w:val="id-ID"/>
        </w:rPr>
        <w:t>.</w:t>
      </w:r>
    </w:p>
    <w:p w14:paraId="42E9CECC" w14:textId="77777777" w:rsidR="00C666AF" w:rsidRPr="00781948" w:rsidRDefault="00C666AF">
      <w:pPr>
        <w:rPr>
          <w:sz w:val="22"/>
          <w:szCs w:val="22"/>
          <w:lang w:val="id-ID"/>
        </w:rPr>
        <w:sectPr w:rsidR="00C666AF" w:rsidRPr="00781948" w:rsidSect="00696F48">
          <w:type w:val="continuous"/>
          <w:pgSz w:w="11894" w:h="16157" w:code="9"/>
          <w:pgMar w:top="1440" w:right="1440" w:bottom="1440" w:left="1440" w:header="851" w:footer="941" w:gutter="0"/>
          <w:pgNumType w:start="1440"/>
          <w:cols w:num="2" w:space="431"/>
          <w:docGrid w:linePitch="360"/>
        </w:sectPr>
      </w:pPr>
    </w:p>
    <w:p w14:paraId="7686BA3D" w14:textId="77777777" w:rsidR="00DB0452" w:rsidRDefault="00DB0452" w:rsidP="00DB0452">
      <w:pPr>
        <w:jc w:val="center"/>
        <w:rPr>
          <w:b/>
          <w:bCs/>
          <w:sz w:val="22"/>
          <w:szCs w:val="22"/>
          <w:lang w:val="id-ID"/>
        </w:rPr>
      </w:pPr>
    </w:p>
    <w:p w14:paraId="1EAF4E8A" w14:textId="387A875F" w:rsidR="00C666AF" w:rsidRDefault="00000000" w:rsidP="00DB0452">
      <w:pPr>
        <w:jc w:val="center"/>
        <w:rPr>
          <w:sz w:val="20"/>
          <w:szCs w:val="20"/>
          <w:lang w:val="id-ID"/>
        </w:rPr>
      </w:pPr>
      <w:r w:rsidRPr="00DB0452">
        <w:rPr>
          <w:b/>
          <w:bCs/>
          <w:sz w:val="20"/>
          <w:szCs w:val="20"/>
          <w:lang w:val="id-ID"/>
        </w:rPr>
        <w:t>Table 1.</w:t>
      </w:r>
      <w:r w:rsidRPr="00DB0452">
        <w:rPr>
          <w:sz w:val="20"/>
          <w:szCs w:val="20"/>
          <w:lang w:val="id-ID"/>
        </w:rPr>
        <w:t xml:space="preserve"> Macrofungi found in the TWA Gunung Tunak, Central Lombok, </w:t>
      </w:r>
      <w:r w:rsidR="00DB0452">
        <w:rPr>
          <w:sz w:val="20"/>
          <w:szCs w:val="20"/>
          <w:lang w:val="id-ID"/>
        </w:rPr>
        <w:t>Indonesia</w:t>
      </w:r>
    </w:p>
    <w:p w14:paraId="059B41F0" w14:textId="77777777" w:rsidR="00DB0452" w:rsidRPr="00DB0452" w:rsidRDefault="00DB0452" w:rsidP="00DB0452">
      <w:pPr>
        <w:jc w:val="center"/>
        <w:rPr>
          <w:sz w:val="10"/>
          <w:szCs w:val="10"/>
          <w:lang w:val="id-ID"/>
        </w:rPr>
      </w:pPr>
    </w:p>
    <w:tbl>
      <w:tblPr>
        <w:tblStyle w:val="TableGrid"/>
        <w:tblW w:w="7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74"/>
        <w:gridCol w:w="2338"/>
        <w:gridCol w:w="2338"/>
      </w:tblGrid>
      <w:tr w:rsidR="00C666AF" w:rsidRPr="00DB0452" w14:paraId="3D6302ED" w14:textId="77777777" w:rsidTr="00DB0452">
        <w:trPr>
          <w:jc w:val="center"/>
        </w:trPr>
        <w:tc>
          <w:tcPr>
            <w:tcW w:w="1418" w:type="dxa"/>
            <w:tcBorders>
              <w:top w:val="single" w:sz="4" w:space="0" w:color="auto"/>
              <w:bottom w:val="single" w:sz="4" w:space="0" w:color="auto"/>
            </w:tcBorders>
          </w:tcPr>
          <w:p w14:paraId="22A2394D" w14:textId="77777777" w:rsidR="00C666AF" w:rsidRPr="00DB0452" w:rsidRDefault="00000000">
            <w:pPr>
              <w:rPr>
                <w:b/>
                <w:bCs/>
                <w:sz w:val="20"/>
                <w:szCs w:val="20"/>
                <w:lang w:val="id-ID"/>
              </w:rPr>
            </w:pPr>
            <w:r w:rsidRPr="00DB0452">
              <w:rPr>
                <w:b/>
                <w:bCs/>
                <w:sz w:val="20"/>
                <w:szCs w:val="20"/>
                <w:lang w:val="id-ID"/>
              </w:rPr>
              <w:t>Phylum</w:t>
            </w:r>
          </w:p>
        </w:tc>
        <w:tc>
          <w:tcPr>
            <w:tcW w:w="1774" w:type="dxa"/>
            <w:tcBorders>
              <w:top w:val="single" w:sz="4" w:space="0" w:color="auto"/>
              <w:bottom w:val="single" w:sz="4" w:space="0" w:color="auto"/>
            </w:tcBorders>
          </w:tcPr>
          <w:p w14:paraId="447CFF69" w14:textId="77777777" w:rsidR="00C666AF" w:rsidRPr="00DB0452" w:rsidRDefault="00000000">
            <w:pPr>
              <w:rPr>
                <w:b/>
                <w:bCs/>
                <w:sz w:val="20"/>
                <w:szCs w:val="20"/>
                <w:lang w:val="id-ID"/>
              </w:rPr>
            </w:pPr>
            <w:r w:rsidRPr="00DB0452">
              <w:rPr>
                <w:b/>
                <w:bCs/>
                <w:sz w:val="20"/>
                <w:szCs w:val="20"/>
                <w:lang w:val="id-ID"/>
              </w:rPr>
              <w:t>Family</w:t>
            </w:r>
          </w:p>
        </w:tc>
        <w:tc>
          <w:tcPr>
            <w:tcW w:w="2338" w:type="dxa"/>
            <w:tcBorders>
              <w:top w:val="single" w:sz="4" w:space="0" w:color="auto"/>
              <w:bottom w:val="single" w:sz="4" w:space="0" w:color="auto"/>
            </w:tcBorders>
          </w:tcPr>
          <w:p w14:paraId="0A5F4114" w14:textId="77777777" w:rsidR="00C666AF" w:rsidRPr="00DB0452" w:rsidRDefault="00000000">
            <w:pPr>
              <w:rPr>
                <w:b/>
                <w:bCs/>
                <w:sz w:val="20"/>
                <w:szCs w:val="20"/>
                <w:lang w:val="id-ID"/>
              </w:rPr>
            </w:pPr>
            <w:r w:rsidRPr="00DB0452">
              <w:rPr>
                <w:b/>
                <w:bCs/>
                <w:sz w:val="20"/>
                <w:szCs w:val="20"/>
                <w:lang w:val="id-ID"/>
              </w:rPr>
              <w:t>Species</w:t>
            </w:r>
          </w:p>
        </w:tc>
        <w:tc>
          <w:tcPr>
            <w:tcW w:w="2338" w:type="dxa"/>
            <w:tcBorders>
              <w:top w:val="single" w:sz="4" w:space="0" w:color="auto"/>
              <w:bottom w:val="single" w:sz="4" w:space="0" w:color="auto"/>
            </w:tcBorders>
          </w:tcPr>
          <w:p w14:paraId="03505F41" w14:textId="77777777" w:rsidR="00C666AF" w:rsidRPr="00DB0452" w:rsidRDefault="00000000">
            <w:pPr>
              <w:rPr>
                <w:b/>
                <w:bCs/>
                <w:sz w:val="20"/>
                <w:szCs w:val="20"/>
                <w:lang w:val="id-ID"/>
              </w:rPr>
            </w:pPr>
            <w:r w:rsidRPr="00DB0452">
              <w:rPr>
                <w:b/>
                <w:bCs/>
                <w:sz w:val="20"/>
                <w:szCs w:val="20"/>
                <w:lang w:val="id-ID"/>
              </w:rPr>
              <w:t>Substrates</w:t>
            </w:r>
          </w:p>
        </w:tc>
      </w:tr>
      <w:tr w:rsidR="00C666AF" w:rsidRPr="00DB0452" w14:paraId="0F799FE5" w14:textId="77777777" w:rsidTr="00DB0452">
        <w:trPr>
          <w:jc w:val="center"/>
        </w:trPr>
        <w:tc>
          <w:tcPr>
            <w:tcW w:w="1418" w:type="dxa"/>
            <w:tcBorders>
              <w:top w:val="single" w:sz="4" w:space="0" w:color="auto"/>
            </w:tcBorders>
          </w:tcPr>
          <w:p w14:paraId="1A740E6D" w14:textId="77777777" w:rsidR="00C666AF" w:rsidRPr="00DB0452" w:rsidRDefault="00000000">
            <w:pPr>
              <w:rPr>
                <w:sz w:val="20"/>
                <w:szCs w:val="20"/>
                <w:lang w:val="id-ID"/>
              </w:rPr>
            </w:pPr>
            <w:r w:rsidRPr="00DB0452">
              <w:rPr>
                <w:sz w:val="20"/>
                <w:szCs w:val="20"/>
                <w:lang w:val="id-ID"/>
              </w:rPr>
              <w:t>Basidiomycota</w:t>
            </w:r>
          </w:p>
        </w:tc>
        <w:tc>
          <w:tcPr>
            <w:tcW w:w="1774" w:type="dxa"/>
            <w:tcBorders>
              <w:top w:val="single" w:sz="4" w:space="0" w:color="auto"/>
            </w:tcBorders>
          </w:tcPr>
          <w:p w14:paraId="715A2B49" w14:textId="77777777" w:rsidR="00C666AF" w:rsidRPr="00DB0452" w:rsidRDefault="00000000">
            <w:pPr>
              <w:rPr>
                <w:sz w:val="20"/>
                <w:szCs w:val="20"/>
                <w:lang w:val="id-ID"/>
              </w:rPr>
            </w:pPr>
            <w:r w:rsidRPr="00DB0452">
              <w:rPr>
                <w:sz w:val="20"/>
                <w:szCs w:val="20"/>
                <w:lang w:val="id-ID"/>
              </w:rPr>
              <w:t>Polyporaceae</w:t>
            </w:r>
          </w:p>
        </w:tc>
        <w:tc>
          <w:tcPr>
            <w:tcW w:w="2338" w:type="dxa"/>
            <w:tcBorders>
              <w:top w:val="single" w:sz="4" w:space="0" w:color="auto"/>
            </w:tcBorders>
          </w:tcPr>
          <w:p w14:paraId="2B3B787F" w14:textId="77777777" w:rsidR="00C666AF" w:rsidRPr="00DB0452" w:rsidRDefault="00000000">
            <w:pPr>
              <w:rPr>
                <w:sz w:val="20"/>
                <w:szCs w:val="20"/>
                <w:lang w:val="id-ID"/>
              </w:rPr>
            </w:pPr>
            <w:r w:rsidRPr="00DB0452">
              <w:rPr>
                <w:sz w:val="20"/>
                <w:szCs w:val="20"/>
                <w:lang w:val="id-ID"/>
              </w:rPr>
              <w:t>Hexagonia sp.</w:t>
            </w:r>
          </w:p>
        </w:tc>
        <w:tc>
          <w:tcPr>
            <w:tcW w:w="2338" w:type="dxa"/>
            <w:tcBorders>
              <w:top w:val="single" w:sz="4" w:space="0" w:color="auto"/>
            </w:tcBorders>
          </w:tcPr>
          <w:p w14:paraId="238A660C" w14:textId="77777777" w:rsidR="00C666AF" w:rsidRPr="00DB0452" w:rsidRDefault="00000000">
            <w:pPr>
              <w:rPr>
                <w:sz w:val="20"/>
                <w:szCs w:val="20"/>
                <w:lang w:val="id-ID"/>
              </w:rPr>
            </w:pPr>
            <w:r w:rsidRPr="00DB0452">
              <w:rPr>
                <w:sz w:val="20"/>
                <w:szCs w:val="20"/>
                <w:lang w:val="id-ID"/>
              </w:rPr>
              <w:t>Wood</w:t>
            </w:r>
          </w:p>
        </w:tc>
      </w:tr>
      <w:tr w:rsidR="00C666AF" w:rsidRPr="00DB0452" w14:paraId="5AC66893" w14:textId="77777777" w:rsidTr="00DB0452">
        <w:trPr>
          <w:jc w:val="center"/>
        </w:trPr>
        <w:tc>
          <w:tcPr>
            <w:tcW w:w="1418" w:type="dxa"/>
          </w:tcPr>
          <w:p w14:paraId="47F7DD3F" w14:textId="77777777" w:rsidR="00C666AF" w:rsidRPr="00DB0452" w:rsidRDefault="00000000">
            <w:pPr>
              <w:rPr>
                <w:sz w:val="20"/>
                <w:szCs w:val="20"/>
                <w:lang w:val="id-ID"/>
              </w:rPr>
            </w:pPr>
            <w:r w:rsidRPr="00DB0452">
              <w:rPr>
                <w:sz w:val="20"/>
                <w:szCs w:val="20"/>
                <w:lang w:val="id-ID"/>
              </w:rPr>
              <w:t>Basidiomycota</w:t>
            </w:r>
          </w:p>
        </w:tc>
        <w:tc>
          <w:tcPr>
            <w:tcW w:w="1774" w:type="dxa"/>
          </w:tcPr>
          <w:p w14:paraId="0AEF978D" w14:textId="77777777" w:rsidR="00C666AF" w:rsidRPr="00DB0452" w:rsidRDefault="00000000">
            <w:pPr>
              <w:rPr>
                <w:sz w:val="20"/>
                <w:szCs w:val="20"/>
                <w:lang w:val="id-ID"/>
              </w:rPr>
            </w:pPr>
            <w:r w:rsidRPr="00DB0452">
              <w:rPr>
                <w:sz w:val="20"/>
                <w:szCs w:val="20"/>
                <w:lang w:val="id-ID"/>
              </w:rPr>
              <w:t>Polyporaceae</w:t>
            </w:r>
          </w:p>
        </w:tc>
        <w:tc>
          <w:tcPr>
            <w:tcW w:w="2338" w:type="dxa"/>
          </w:tcPr>
          <w:p w14:paraId="2495B1A6" w14:textId="77777777" w:rsidR="00C666AF" w:rsidRPr="00DB0452" w:rsidRDefault="00000000">
            <w:pPr>
              <w:rPr>
                <w:sz w:val="20"/>
                <w:szCs w:val="20"/>
                <w:lang w:val="id-ID"/>
              </w:rPr>
            </w:pPr>
            <w:r w:rsidRPr="00DB0452">
              <w:rPr>
                <w:sz w:val="20"/>
                <w:szCs w:val="20"/>
                <w:lang w:val="id-ID"/>
              </w:rPr>
              <w:t>Trametes sp.</w:t>
            </w:r>
          </w:p>
        </w:tc>
        <w:tc>
          <w:tcPr>
            <w:tcW w:w="2338" w:type="dxa"/>
          </w:tcPr>
          <w:p w14:paraId="1DCCF457" w14:textId="77777777" w:rsidR="00C666AF" w:rsidRPr="00DB0452" w:rsidRDefault="00000000">
            <w:pPr>
              <w:rPr>
                <w:sz w:val="20"/>
                <w:szCs w:val="20"/>
                <w:lang w:val="id-ID"/>
              </w:rPr>
            </w:pPr>
            <w:r w:rsidRPr="00DB0452">
              <w:rPr>
                <w:sz w:val="20"/>
                <w:szCs w:val="20"/>
                <w:lang w:val="id-ID"/>
              </w:rPr>
              <w:t>Wood</w:t>
            </w:r>
          </w:p>
        </w:tc>
      </w:tr>
      <w:tr w:rsidR="00C666AF" w:rsidRPr="00DB0452" w14:paraId="2F876417" w14:textId="77777777" w:rsidTr="00DB0452">
        <w:trPr>
          <w:jc w:val="center"/>
        </w:trPr>
        <w:tc>
          <w:tcPr>
            <w:tcW w:w="1418" w:type="dxa"/>
          </w:tcPr>
          <w:p w14:paraId="08A6A75F" w14:textId="77777777" w:rsidR="00C666AF" w:rsidRPr="00DB0452" w:rsidRDefault="00000000">
            <w:pPr>
              <w:rPr>
                <w:sz w:val="20"/>
                <w:szCs w:val="20"/>
                <w:lang w:val="id-ID"/>
              </w:rPr>
            </w:pPr>
            <w:r w:rsidRPr="00DB0452">
              <w:rPr>
                <w:sz w:val="20"/>
                <w:szCs w:val="20"/>
                <w:lang w:val="id-ID"/>
              </w:rPr>
              <w:t>Basidiomycota</w:t>
            </w:r>
          </w:p>
        </w:tc>
        <w:tc>
          <w:tcPr>
            <w:tcW w:w="1774" w:type="dxa"/>
          </w:tcPr>
          <w:p w14:paraId="7C6FA46D" w14:textId="77777777" w:rsidR="00C666AF" w:rsidRPr="00DB0452" w:rsidRDefault="00000000">
            <w:pPr>
              <w:rPr>
                <w:sz w:val="20"/>
                <w:szCs w:val="20"/>
                <w:lang w:val="id-ID"/>
              </w:rPr>
            </w:pPr>
            <w:r w:rsidRPr="00DB0452">
              <w:rPr>
                <w:sz w:val="20"/>
                <w:szCs w:val="20"/>
                <w:lang w:val="id-ID"/>
              </w:rPr>
              <w:t>Polyporaceae</w:t>
            </w:r>
          </w:p>
        </w:tc>
        <w:tc>
          <w:tcPr>
            <w:tcW w:w="2338" w:type="dxa"/>
          </w:tcPr>
          <w:p w14:paraId="6203DD49" w14:textId="77777777" w:rsidR="00C666AF" w:rsidRPr="00DB0452" w:rsidRDefault="00000000">
            <w:pPr>
              <w:rPr>
                <w:sz w:val="20"/>
                <w:szCs w:val="20"/>
                <w:lang w:val="id-ID"/>
              </w:rPr>
            </w:pPr>
            <w:r w:rsidRPr="00DB0452">
              <w:rPr>
                <w:sz w:val="20"/>
                <w:szCs w:val="20"/>
                <w:lang w:val="id-ID"/>
              </w:rPr>
              <w:t>Microporus sp.</w:t>
            </w:r>
          </w:p>
        </w:tc>
        <w:tc>
          <w:tcPr>
            <w:tcW w:w="2338" w:type="dxa"/>
          </w:tcPr>
          <w:p w14:paraId="494D24BE" w14:textId="77777777" w:rsidR="00C666AF" w:rsidRPr="00DB0452" w:rsidRDefault="00000000">
            <w:pPr>
              <w:rPr>
                <w:sz w:val="20"/>
                <w:szCs w:val="20"/>
                <w:lang w:val="id-ID"/>
              </w:rPr>
            </w:pPr>
            <w:r w:rsidRPr="00DB0452">
              <w:rPr>
                <w:sz w:val="20"/>
                <w:szCs w:val="20"/>
                <w:lang w:val="id-ID"/>
              </w:rPr>
              <w:t>Twig</w:t>
            </w:r>
          </w:p>
        </w:tc>
      </w:tr>
      <w:tr w:rsidR="00C666AF" w:rsidRPr="00DB0452" w14:paraId="5DAED010" w14:textId="77777777" w:rsidTr="00DB0452">
        <w:trPr>
          <w:jc w:val="center"/>
        </w:trPr>
        <w:tc>
          <w:tcPr>
            <w:tcW w:w="1418" w:type="dxa"/>
          </w:tcPr>
          <w:p w14:paraId="7817A2BD" w14:textId="77777777" w:rsidR="00C666AF" w:rsidRPr="00DB0452" w:rsidRDefault="00000000">
            <w:pPr>
              <w:rPr>
                <w:sz w:val="20"/>
                <w:szCs w:val="20"/>
                <w:lang w:val="id-ID"/>
              </w:rPr>
            </w:pPr>
            <w:r w:rsidRPr="00DB0452">
              <w:rPr>
                <w:sz w:val="20"/>
                <w:szCs w:val="20"/>
                <w:lang w:val="id-ID"/>
              </w:rPr>
              <w:t>Basidiomycota</w:t>
            </w:r>
          </w:p>
        </w:tc>
        <w:tc>
          <w:tcPr>
            <w:tcW w:w="1774" w:type="dxa"/>
          </w:tcPr>
          <w:p w14:paraId="3DCB2B70" w14:textId="77777777" w:rsidR="00C666AF" w:rsidRPr="00DB0452" w:rsidRDefault="00000000">
            <w:pPr>
              <w:rPr>
                <w:sz w:val="20"/>
                <w:szCs w:val="20"/>
                <w:lang w:val="id-ID"/>
              </w:rPr>
            </w:pPr>
            <w:r w:rsidRPr="00DB0452">
              <w:rPr>
                <w:sz w:val="20"/>
                <w:szCs w:val="20"/>
                <w:lang w:val="id-ID"/>
              </w:rPr>
              <w:t>Polyporaceae</w:t>
            </w:r>
          </w:p>
        </w:tc>
        <w:tc>
          <w:tcPr>
            <w:tcW w:w="2338" w:type="dxa"/>
          </w:tcPr>
          <w:p w14:paraId="364E4E6A" w14:textId="77777777" w:rsidR="00C666AF" w:rsidRPr="00DB0452" w:rsidRDefault="00000000">
            <w:pPr>
              <w:rPr>
                <w:sz w:val="20"/>
                <w:szCs w:val="20"/>
                <w:lang w:val="id-ID"/>
              </w:rPr>
            </w:pPr>
            <w:r w:rsidRPr="00DB0452">
              <w:rPr>
                <w:sz w:val="20"/>
                <w:szCs w:val="20"/>
                <w:lang w:val="id-ID"/>
              </w:rPr>
              <w:t>Daedaleopsis sp.</w:t>
            </w:r>
          </w:p>
        </w:tc>
        <w:tc>
          <w:tcPr>
            <w:tcW w:w="2338" w:type="dxa"/>
          </w:tcPr>
          <w:p w14:paraId="75231378" w14:textId="77777777" w:rsidR="00C666AF" w:rsidRPr="00DB0452" w:rsidRDefault="00000000">
            <w:pPr>
              <w:rPr>
                <w:sz w:val="20"/>
                <w:szCs w:val="20"/>
                <w:lang w:val="id-ID"/>
              </w:rPr>
            </w:pPr>
            <w:r w:rsidRPr="00DB0452">
              <w:rPr>
                <w:sz w:val="20"/>
                <w:szCs w:val="20"/>
                <w:lang w:val="id-ID"/>
              </w:rPr>
              <w:t>Wood</w:t>
            </w:r>
          </w:p>
        </w:tc>
      </w:tr>
      <w:tr w:rsidR="00C666AF" w:rsidRPr="00DB0452" w14:paraId="4C3D53B3" w14:textId="77777777" w:rsidTr="00DB0452">
        <w:trPr>
          <w:jc w:val="center"/>
        </w:trPr>
        <w:tc>
          <w:tcPr>
            <w:tcW w:w="1418" w:type="dxa"/>
          </w:tcPr>
          <w:p w14:paraId="1670DE31" w14:textId="77777777" w:rsidR="00C666AF" w:rsidRPr="00DB0452" w:rsidRDefault="00000000">
            <w:pPr>
              <w:rPr>
                <w:sz w:val="20"/>
                <w:szCs w:val="20"/>
                <w:lang w:val="id-ID"/>
              </w:rPr>
            </w:pPr>
            <w:r w:rsidRPr="00DB0452">
              <w:rPr>
                <w:sz w:val="20"/>
                <w:szCs w:val="20"/>
                <w:lang w:val="id-ID"/>
              </w:rPr>
              <w:t>Basidiomycota</w:t>
            </w:r>
          </w:p>
        </w:tc>
        <w:tc>
          <w:tcPr>
            <w:tcW w:w="1774" w:type="dxa"/>
          </w:tcPr>
          <w:p w14:paraId="0308B241" w14:textId="77777777" w:rsidR="00C666AF" w:rsidRPr="00DB0452" w:rsidRDefault="00000000">
            <w:pPr>
              <w:rPr>
                <w:sz w:val="20"/>
                <w:szCs w:val="20"/>
                <w:lang w:val="id-ID"/>
              </w:rPr>
            </w:pPr>
            <w:r w:rsidRPr="00DB0452">
              <w:rPr>
                <w:sz w:val="20"/>
                <w:szCs w:val="20"/>
                <w:lang w:val="id-ID"/>
              </w:rPr>
              <w:t>Irpicaceae</w:t>
            </w:r>
          </w:p>
        </w:tc>
        <w:tc>
          <w:tcPr>
            <w:tcW w:w="2338" w:type="dxa"/>
          </w:tcPr>
          <w:p w14:paraId="7FAB20C8" w14:textId="77777777" w:rsidR="00C666AF" w:rsidRPr="00DB0452" w:rsidRDefault="00000000">
            <w:pPr>
              <w:rPr>
                <w:sz w:val="20"/>
                <w:szCs w:val="20"/>
                <w:lang w:val="id-ID"/>
              </w:rPr>
            </w:pPr>
            <w:r w:rsidRPr="00DB0452">
              <w:rPr>
                <w:sz w:val="20"/>
                <w:szCs w:val="20"/>
                <w:lang w:val="id-ID"/>
              </w:rPr>
              <w:t>Irpex sp</w:t>
            </w:r>
          </w:p>
        </w:tc>
        <w:tc>
          <w:tcPr>
            <w:tcW w:w="2338" w:type="dxa"/>
          </w:tcPr>
          <w:p w14:paraId="63158933" w14:textId="77777777" w:rsidR="00C666AF" w:rsidRPr="00DB0452" w:rsidRDefault="00000000">
            <w:pPr>
              <w:rPr>
                <w:sz w:val="20"/>
                <w:szCs w:val="20"/>
                <w:lang w:val="id-ID"/>
              </w:rPr>
            </w:pPr>
            <w:r w:rsidRPr="00DB0452">
              <w:rPr>
                <w:sz w:val="20"/>
                <w:szCs w:val="20"/>
                <w:lang w:val="id-ID"/>
              </w:rPr>
              <w:t>Twigs</w:t>
            </w:r>
          </w:p>
        </w:tc>
      </w:tr>
      <w:tr w:rsidR="00C666AF" w:rsidRPr="00DB0452" w14:paraId="3E8B1473" w14:textId="77777777" w:rsidTr="00DB0452">
        <w:trPr>
          <w:jc w:val="center"/>
        </w:trPr>
        <w:tc>
          <w:tcPr>
            <w:tcW w:w="1418" w:type="dxa"/>
          </w:tcPr>
          <w:p w14:paraId="67C0E2A0" w14:textId="77777777" w:rsidR="00C666AF" w:rsidRPr="00DB0452" w:rsidRDefault="00000000">
            <w:pPr>
              <w:rPr>
                <w:sz w:val="20"/>
                <w:szCs w:val="20"/>
                <w:lang w:val="id-ID"/>
              </w:rPr>
            </w:pPr>
            <w:r w:rsidRPr="00DB0452">
              <w:rPr>
                <w:sz w:val="20"/>
                <w:szCs w:val="20"/>
                <w:lang w:val="id-ID"/>
              </w:rPr>
              <w:t>Basidiomycota</w:t>
            </w:r>
          </w:p>
        </w:tc>
        <w:tc>
          <w:tcPr>
            <w:tcW w:w="1774" w:type="dxa"/>
          </w:tcPr>
          <w:p w14:paraId="6DC303D7" w14:textId="77777777" w:rsidR="00C666AF" w:rsidRPr="00DB0452" w:rsidRDefault="00000000">
            <w:pPr>
              <w:rPr>
                <w:sz w:val="20"/>
                <w:szCs w:val="20"/>
                <w:lang w:val="id-ID"/>
              </w:rPr>
            </w:pPr>
            <w:r w:rsidRPr="00DB0452">
              <w:rPr>
                <w:sz w:val="20"/>
                <w:szCs w:val="20"/>
                <w:lang w:val="id-ID"/>
              </w:rPr>
              <w:t>Polyporaceae</w:t>
            </w:r>
          </w:p>
        </w:tc>
        <w:tc>
          <w:tcPr>
            <w:tcW w:w="2338" w:type="dxa"/>
          </w:tcPr>
          <w:p w14:paraId="6D7748A3" w14:textId="77777777" w:rsidR="00C666AF" w:rsidRPr="00DB0452" w:rsidRDefault="00000000">
            <w:pPr>
              <w:rPr>
                <w:sz w:val="20"/>
                <w:szCs w:val="20"/>
                <w:lang w:val="id-ID"/>
              </w:rPr>
            </w:pPr>
            <w:r w:rsidRPr="00DB0452">
              <w:rPr>
                <w:sz w:val="20"/>
                <w:szCs w:val="20"/>
                <w:lang w:val="id-ID"/>
              </w:rPr>
              <w:t>Podofomes sp,</w:t>
            </w:r>
          </w:p>
        </w:tc>
        <w:tc>
          <w:tcPr>
            <w:tcW w:w="2338" w:type="dxa"/>
          </w:tcPr>
          <w:p w14:paraId="142A8709" w14:textId="77777777" w:rsidR="00C666AF" w:rsidRPr="00DB0452" w:rsidRDefault="00000000">
            <w:pPr>
              <w:rPr>
                <w:sz w:val="20"/>
                <w:szCs w:val="20"/>
                <w:lang w:val="id-ID"/>
              </w:rPr>
            </w:pPr>
            <w:r w:rsidRPr="00DB0452">
              <w:rPr>
                <w:sz w:val="20"/>
                <w:szCs w:val="20"/>
                <w:lang w:val="id-ID"/>
              </w:rPr>
              <w:t>Wood</w:t>
            </w:r>
          </w:p>
        </w:tc>
      </w:tr>
      <w:tr w:rsidR="00C666AF" w:rsidRPr="00DB0452" w14:paraId="09161ED7" w14:textId="77777777" w:rsidTr="00DB0452">
        <w:trPr>
          <w:jc w:val="center"/>
        </w:trPr>
        <w:tc>
          <w:tcPr>
            <w:tcW w:w="1418" w:type="dxa"/>
          </w:tcPr>
          <w:p w14:paraId="789C51BF" w14:textId="77777777" w:rsidR="00C666AF" w:rsidRPr="00DB0452" w:rsidRDefault="00000000">
            <w:pPr>
              <w:rPr>
                <w:sz w:val="20"/>
                <w:szCs w:val="20"/>
                <w:lang w:val="id-ID"/>
              </w:rPr>
            </w:pPr>
            <w:r w:rsidRPr="00DB0452">
              <w:rPr>
                <w:sz w:val="20"/>
                <w:szCs w:val="20"/>
                <w:lang w:val="id-ID"/>
              </w:rPr>
              <w:t>Basidiomycota</w:t>
            </w:r>
          </w:p>
        </w:tc>
        <w:tc>
          <w:tcPr>
            <w:tcW w:w="1774" w:type="dxa"/>
          </w:tcPr>
          <w:p w14:paraId="1FF901A7" w14:textId="77777777" w:rsidR="00C666AF" w:rsidRPr="00DB0452" w:rsidRDefault="00000000">
            <w:pPr>
              <w:rPr>
                <w:sz w:val="20"/>
                <w:szCs w:val="20"/>
                <w:lang w:val="id-ID"/>
              </w:rPr>
            </w:pPr>
            <w:r w:rsidRPr="00DB0452">
              <w:rPr>
                <w:sz w:val="20"/>
                <w:szCs w:val="20"/>
                <w:lang w:val="id-ID"/>
              </w:rPr>
              <w:t>Hymenochaetaceae</w:t>
            </w:r>
          </w:p>
        </w:tc>
        <w:tc>
          <w:tcPr>
            <w:tcW w:w="2338" w:type="dxa"/>
          </w:tcPr>
          <w:p w14:paraId="2EC1217C" w14:textId="77777777" w:rsidR="00C666AF" w:rsidRPr="00DB0452" w:rsidRDefault="00000000">
            <w:pPr>
              <w:rPr>
                <w:sz w:val="20"/>
                <w:szCs w:val="20"/>
                <w:lang w:val="id-ID"/>
              </w:rPr>
            </w:pPr>
            <w:r w:rsidRPr="00DB0452">
              <w:rPr>
                <w:sz w:val="20"/>
                <w:szCs w:val="20"/>
                <w:lang w:val="id-ID"/>
              </w:rPr>
              <w:t>Phylloporia sp.</w:t>
            </w:r>
          </w:p>
        </w:tc>
        <w:tc>
          <w:tcPr>
            <w:tcW w:w="2338" w:type="dxa"/>
          </w:tcPr>
          <w:p w14:paraId="422E6644" w14:textId="77777777" w:rsidR="00C666AF" w:rsidRPr="00DB0452" w:rsidRDefault="00000000">
            <w:pPr>
              <w:rPr>
                <w:sz w:val="20"/>
                <w:szCs w:val="20"/>
                <w:lang w:val="id-ID"/>
              </w:rPr>
            </w:pPr>
            <w:r w:rsidRPr="00DB0452">
              <w:rPr>
                <w:sz w:val="20"/>
                <w:szCs w:val="20"/>
                <w:lang w:val="id-ID"/>
              </w:rPr>
              <w:t>Wood</w:t>
            </w:r>
          </w:p>
        </w:tc>
      </w:tr>
      <w:tr w:rsidR="00C666AF" w:rsidRPr="00DB0452" w14:paraId="3BDEB5D4" w14:textId="77777777" w:rsidTr="00DB0452">
        <w:trPr>
          <w:jc w:val="center"/>
        </w:trPr>
        <w:tc>
          <w:tcPr>
            <w:tcW w:w="1418" w:type="dxa"/>
          </w:tcPr>
          <w:p w14:paraId="30A9D34E" w14:textId="77777777" w:rsidR="00C666AF" w:rsidRPr="00DB0452" w:rsidRDefault="00000000">
            <w:pPr>
              <w:rPr>
                <w:sz w:val="20"/>
                <w:szCs w:val="20"/>
                <w:lang w:val="id-ID"/>
              </w:rPr>
            </w:pPr>
            <w:r w:rsidRPr="00DB0452">
              <w:rPr>
                <w:sz w:val="20"/>
                <w:szCs w:val="20"/>
                <w:lang w:val="id-ID"/>
              </w:rPr>
              <w:t>Basidiomycota</w:t>
            </w:r>
          </w:p>
        </w:tc>
        <w:tc>
          <w:tcPr>
            <w:tcW w:w="1774" w:type="dxa"/>
          </w:tcPr>
          <w:p w14:paraId="7E1C2FD3" w14:textId="77777777" w:rsidR="00C666AF" w:rsidRPr="00DB0452" w:rsidRDefault="00000000">
            <w:pPr>
              <w:rPr>
                <w:sz w:val="20"/>
                <w:szCs w:val="20"/>
                <w:lang w:val="id-ID"/>
              </w:rPr>
            </w:pPr>
            <w:r w:rsidRPr="00DB0452">
              <w:rPr>
                <w:sz w:val="20"/>
                <w:szCs w:val="20"/>
                <w:lang w:val="id-ID"/>
              </w:rPr>
              <w:t>Gloeophyllaceae</w:t>
            </w:r>
          </w:p>
        </w:tc>
        <w:tc>
          <w:tcPr>
            <w:tcW w:w="2338" w:type="dxa"/>
          </w:tcPr>
          <w:p w14:paraId="1A639F5A" w14:textId="77777777" w:rsidR="00C666AF" w:rsidRPr="00DB0452" w:rsidRDefault="00000000">
            <w:pPr>
              <w:rPr>
                <w:sz w:val="20"/>
                <w:szCs w:val="20"/>
                <w:lang w:val="id-ID"/>
              </w:rPr>
            </w:pPr>
            <w:r w:rsidRPr="00DB0452">
              <w:rPr>
                <w:sz w:val="20"/>
                <w:szCs w:val="20"/>
                <w:lang w:val="id-ID"/>
              </w:rPr>
              <w:t xml:space="preserve">Gloeophyllum sp. </w:t>
            </w:r>
          </w:p>
        </w:tc>
        <w:tc>
          <w:tcPr>
            <w:tcW w:w="2338" w:type="dxa"/>
          </w:tcPr>
          <w:p w14:paraId="7AE4F02C" w14:textId="77777777" w:rsidR="00C666AF" w:rsidRPr="00DB0452" w:rsidRDefault="00000000">
            <w:pPr>
              <w:rPr>
                <w:sz w:val="20"/>
                <w:szCs w:val="20"/>
                <w:lang w:val="id-ID"/>
              </w:rPr>
            </w:pPr>
            <w:r w:rsidRPr="00DB0452">
              <w:rPr>
                <w:sz w:val="20"/>
                <w:szCs w:val="20"/>
                <w:lang w:val="id-ID"/>
              </w:rPr>
              <w:t xml:space="preserve">Twigs </w:t>
            </w:r>
          </w:p>
        </w:tc>
      </w:tr>
      <w:tr w:rsidR="00C666AF" w:rsidRPr="00DB0452" w14:paraId="69A2301A" w14:textId="77777777" w:rsidTr="00DB0452">
        <w:trPr>
          <w:jc w:val="center"/>
        </w:trPr>
        <w:tc>
          <w:tcPr>
            <w:tcW w:w="1418" w:type="dxa"/>
          </w:tcPr>
          <w:p w14:paraId="69F26AF1" w14:textId="77777777" w:rsidR="00C666AF" w:rsidRPr="00DB0452" w:rsidRDefault="00000000">
            <w:pPr>
              <w:rPr>
                <w:sz w:val="20"/>
                <w:szCs w:val="20"/>
                <w:lang w:val="id-ID"/>
              </w:rPr>
            </w:pPr>
            <w:r w:rsidRPr="00DB0452">
              <w:rPr>
                <w:sz w:val="20"/>
                <w:szCs w:val="20"/>
                <w:lang w:val="id-ID"/>
              </w:rPr>
              <w:t>Basidiomycota</w:t>
            </w:r>
          </w:p>
        </w:tc>
        <w:tc>
          <w:tcPr>
            <w:tcW w:w="1774" w:type="dxa"/>
          </w:tcPr>
          <w:p w14:paraId="13FD9318" w14:textId="77777777" w:rsidR="00C666AF" w:rsidRPr="00DB0452" w:rsidRDefault="00000000">
            <w:pPr>
              <w:rPr>
                <w:sz w:val="20"/>
                <w:szCs w:val="20"/>
                <w:lang w:val="id-ID"/>
              </w:rPr>
            </w:pPr>
            <w:r w:rsidRPr="00DB0452">
              <w:rPr>
                <w:sz w:val="20"/>
                <w:szCs w:val="20"/>
                <w:lang w:val="id-ID"/>
              </w:rPr>
              <w:t>Hymenochaetaceae</w:t>
            </w:r>
          </w:p>
        </w:tc>
        <w:tc>
          <w:tcPr>
            <w:tcW w:w="2338" w:type="dxa"/>
          </w:tcPr>
          <w:p w14:paraId="0200B6A5" w14:textId="77777777" w:rsidR="00C666AF" w:rsidRPr="00DB0452" w:rsidRDefault="00000000">
            <w:pPr>
              <w:rPr>
                <w:sz w:val="20"/>
                <w:szCs w:val="20"/>
                <w:lang w:val="id-ID"/>
              </w:rPr>
            </w:pPr>
            <w:r w:rsidRPr="00DB0452">
              <w:rPr>
                <w:sz w:val="20"/>
                <w:szCs w:val="20"/>
                <w:lang w:val="id-ID"/>
              </w:rPr>
              <w:t xml:space="preserve">Phellinus sp. </w:t>
            </w:r>
          </w:p>
        </w:tc>
        <w:tc>
          <w:tcPr>
            <w:tcW w:w="2338" w:type="dxa"/>
          </w:tcPr>
          <w:p w14:paraId="706B90E2" w14:textId="77777777" w:rsidR="00C666AF" w:rsidRPr="00DB0452" w:rsidRDefault="00000000">
            <w:pPr>
              <w:rPr>
                <w:sz w:val="20"/>
                <w:szCs w:val="20"/>
                <w:lang w:val="id-ID"/>
              </w:rPr>
            </w:pPr>
            <w:r w:rsidRPr="00DB0452">
              <w:rPr>
                <w:sz w:val="20"/>
                <w:szCs w:val="20"/>
                <w:lang w:val="id-ID"/>
              </w:rPr>
              <w:t>Wood</w:t>
            </w:r>
          </w:p>
        </w:tc>
      </w:tr>
      <w:tr w:rsidR="00C666AF" w:rsidRPr="00DB0452" w14:paraId="46018733" w14:textId="77777777" w:rsidTr="00DB0452">
        <w:trPr>
          <w:jc w:val="center"/>
        </w:trPr>
        <w:tc>
          <w:tcPr>
            <w:tcW w:w="1418" w:type="dxa"/>
          </w:tcPr>
          <w:p w14:paraId="0E1C4BE9" w14:textId="77777777" w:rsidR="00C666AF" w:rsidRPr="00DB0452" w:rsidRDefault="00000000">
            <w:pPr>
              <w:rPr>
                <w:sz w:val="20"/>
                <w:szCs w:val="20"/>
                <w:lang w:val="id-ID"/>
              </w:rPr>
            </w:pPr>
            <w:r w:rsidRPr="00DB0452">
              <w:rPr>
                <w:sz w:val="20"/>
                <w:szCs w:val="20"/>
                <w:lang w:val="id-ID"/>
              </w:rPr>
              <w:t>Basidiomycota</w:t>
            </w:r>
          </w:p>
        </w:tc>
        <w:tc>
          <w:tcPr>
            <w:tcW w:w="1774" w:type="dxa"/>
          </w:tcPr>
          <w:p w14:paraId="6E98E3C9" w14:textId="77777777" w:rsidR="00C666AF" w:rsidRPr="00DB0452" w:rsidRDefault="00000000">
            <w:pPr>
              <w:rPr>
                <w:sz w:val="20"/>
                <w:szCs w:val="20"/>
                <w:lang w:val="id-ID"/>
              </w:rPr>
            </w:pPr>
            <w:r w:rsidRPr="00DB0452">
              <w:rPr>
                <w:sz w:val="20"/>
                <w:szCs w:val="20"/>
                <w:lang w:val="id-ID"/>
              </w:rPr>
              <w:t>Stereaceae</w:t>
            </w:r>
          </w:p>
        </w:tc>
        <w:tc>
          <w:tcPr>
            <w:tcW w:w="2338" w:type="dxa"/>
          </w:tcPr>
          <w:p w14:paraId="7A67946C" w14:textId="77777777" w:rsidR="00C666AF" w:rsidRPr="00DB0452" w:rsidRDefault="00000000">
            <w:pPr>
              <w:rPr>
                <w:sz w:val="20"/>
                <w:szCs w:val="20"/>
                <w:lang w:val="id-ID"/>
              </w:rPr>
            </w:pPr>
            <w:r w:rsidRPr="00DB0452">
              <w:rPr>
                <w:sz w:val="20"/>
                <w:szCs w:val="20"/>
                <w:lang w:val="id-ID"/>
              </w:rPr>
              <w:t>Stereum sp.</w:t>
            </w:r>
          </w:p>
        </w:tc>
        <w:tc>
          <w:tcPr>
            <w:tcW w:w="2338" w:type="dxa"/>
          </w:tcPr>
          <w:p w14:paraId="72B5DD8E" w14:textId="77777777" w:rsidR="00C666AF" w:rsidRPr="00DB0452" w:rsidRDefault="00000000">
            <w:pPr>
              <w:rPr>
                <w:sz w:val="20"/>
                <w:szCs w:val="20"/>
                <w:lang w:val="id-ID"/>
              </w:rPr>
            </w:pPr>
            <w:r w:rsidRPr="00DB0452">
              <w:rPr>
                <w:sz w:val="20"/>
                <w:szCs w:val="20"/>
                <w:lang w:val="id-ID"/>
              </w:rPr>
              <w:t>Wood</w:t>
            </w:r>
          </w:p>
        </w:tc>
      </w:tr>
      <w:tr w:rsidR="00C666AF" w:rsidRPr="00DB0452" w14:paraId="59EEBB5B" w14:textId="77777777" w:rsidTr="00DB0452">
        <w:trPr>
          <w:jc w:val="center"/>
        </w:trPr>
        <w:tc>
          <w:tcPr>
            <w:tcW w:w="1418" w:type="dxa"/>
            <w:tcBorders>
              <w:bottom w:val="single" w:sz="4" w:space="0" w:color="auto"/>
            </w:tcBorders>
          </w:tcPr>
          <w:p w14:paraId="43AC77AF" w14:textId="77777777" w:rsidR="00C666AF" w:rsidRPr="00DB0452" w:rsidRDefault="00000000">
            <w:pPr>
              <w:rPr>
                <w:sz w:val="20"/>
                <w:szCs w:val="20"/>
                <w:lang w:val="id-ID"/>
              </w:rPr>
            </w:pPr>
            <w:r w:rsidRPr="00DB0452">
              <w:rPr>
                <w:sz w:val="20"/>
                <w:szCs w:val="20"/>
                <w:lang w:val="id-ID"/>
              </w:rPr>
              <w:t>Ascomycota</w:t>
            </w:r>
          </w:p>
        </w:tc>
        <w:tc>
          <w:tcPr>
            <w:tcW w:w="1774" w:type="dxa"/>
            <w:tcBorders>
              <w:bottom w:val="single" w:sz="4" w:space="0" w:color="auto"/>
            </w:tcBorders>
          </w:tcPr>
          <w:p w14:paraId="4A784B57" w14:textId="77777777" w:rsidR="00C666AF" w:rsidRPr="00DB0452" w:rsidRDefault="00000000">
            <w:pPr>
              <w:rPr>
                <w:sz w:val="20"/>
                <w:szCs w:val="20"/>
                <w:lang w:val="id-ID"/>
              </w:rPr>
            </w:pPr>
            <w:r w:rsidRPr="00DB0452">
              <w:rPr>
                <w:sz w:val="20"/>
                <w:szCs w:val="20"/>
                <w:lang w:val="id-ID"/>
              </w:rPr>
              <w:t>Xylariaceae</w:t>
            </w:r>
          </w:p>
        </w:tc>
        <w:tc>
          <w:tcPr>
            <w:tcW w:w="2338" w:type="dxa"/>
            <w:tcBorders>
              <w:bottom w:val="single" w:sz="4" w:space="0" w:color="auto"/>
            </w:tcBorders>
          </w:tcPr>
          <w:p w14:paraId="03EF2F7C" w14:textId="77777777" w:rsidR="00C666AF" w:rsidRPr="00DB0452" w:rsidRDefault="00000000">
            <w:pPr>
              <w:rPr>
                <w:sz w:val="20"/>
                <w:szCs w:val="20"/>
                <w:lang w:val="id-ID"/>
              </w:rPr>
            </w:pPr>
            <w:r w:rsidRPr="00DB0452">
              <w:rPr>
                <w:sz w:val="20"/>
                <w:szCs w:val="20"/>
                <w:lang w:val="id-ID"/>
              </w:rPr>
              <w:t>Xylaria sp.</w:t>
            </w:r>
          </w:p>
        </w:tc>
        <w:tc>
          <w:tcPr>
            <w:tcW w:w="2338" w:type="dxa"/>
            <w:tcBorders>
              <w:bottom w:val="single" w:sz="4" w:space="0" w:color="auto"/>
            </w:tcBorders>
          </w:tcPr>
          <w:p w14:paraId="09FD6A96" w14:textId="77777777" w:rsidR="00C666AF" w:rsidRPr="00DB0452" w:rsidRDefault="00000000">
            <w:pPr>
              <w:rPr>
                <w:sz w:val="20"/>
                <w:szCs w:val="20"/>
                <w:lang w:val="id-ID"/>
              </w:rPr>
            </w:pPr>
            <w:r w:rsidRPr="00DB0452">
              <w:rPr>
                <w:sz w:val="20"/>
                <w:szCs w:val="20"/>
                <w:lang w:val="id-ID"/>
              </w:rPr>
              <w:t>Wood</w:t>
            </w:r>
          </w:p>
        </w:tc>
      </w:tr>
    </w:tbl>
    <w:p w14:paraId="36967B1C" w14:textId="77777777" w:rsidR="00C666AF" w:rsidRPr="00781948" w:rsidRDefault="00C666AF">
      <w:pPr>
        <w:rPr>
          <w:sz w:val="22"/>
          <w:szCs w:val="22"/>
          <w:lang w:val="id-ID"/>
        </w:rPr>
      </w:pPr>
    </w:p>
    <w:p w14:paraId="45FDADF9" w14:textId="77777777" w:rsidR="00C666AF" w:rsidRPr="00781948" w:rsidRDefault="00C666AF">
      <w:pPr>
        <w:ind w:firstLine="720"/>
        <w:jc w:val="both"/>
        <w:rPr>
          <w:sz w:val="22"/>
          <w:szCs w:val="22"/>
          <w:lang w:val="id-ID"/>
        </w:rPr>
        <w:sectPr w:rsidR="00C666AF" w:rsidRPr="00781948">
          <w:type w:val="continuous"/>
          <w:pgSz w:w="11894" w:h="16157" w:code="9"/>
          <w:pgMar w:top="1440" w:right="1440" w:bottom="1440" w:left="1440" w:header="851" w:footer="941" w:gutter="0"/>
          <w:cols w:space="431"/>
          <w:docGrid w:linePitch="360"/>
        </w:sectPr>
      </w:pPr>
    </w:p>
    <w:p w14:paraId="30080A44" w14:textId="1A816964" w:rsidR="00C666AF" w:rsidRPr="00781948" w:rsidRDefault="00000000" w:rsidP="00DB0452">
      <w:pPr>
        <w:widowControl w:val="0"/>
        <w:ind w:firstLine="540"/>
        <w:jc w:val="both"/>
        <w:rPr>
          <w:sz w:val="22"/>
          <w:szCs w:val="22"/>
          <w:lang w:val="id-ID"/>
        </w:rPr>
      </w:pPr>
      <w:r w:rsidRPr="00781948">
        <w:rPr>
          <w:sz w:val="22"/>
          <w:szCs w:val="22"/>
          <w:lang w:val="id-ID"/>
        </w:rPr>
        <w:t xml:space="preserve">The most abundant family among the macrofungi is </w:t>
      </w:r>
      <w:r w:rsidRPr="00781948">
        <w:rPr>
          <w:i/>
          <w:iCs/>
          <w:sz w:val="22"/>
          <w:szCs w:val="22"/>
          <w:lang w:val="id-ID"/>
        </w:rPr>
        <w:t>Polyporaceae</w:t>
      </w:r>
      <w:r w:rsidRPr="00781948">
        <w:rPr>
          <w:sz w:val="22"/>
          <w:szCs w:val="22"/>
          <w:lang w:val="id-ID"/>
        </w:rPr>
        <w:t xml:space="preserve">, which includes five species: </w:t>
      </w:r>
      <w:r w:rsidRPr="00781948">
        <w:rPr>
          <w:i/>
          <w:iCs/>
          <w:sz w:val="22"/>
          <w:szCs w:val="22"/>
          <w:lang w:val="id-ID"/>
        </w:rPr>
        <w:t>Hexagonia</w:t>
      </w:r>
      <w:r w:rsidRPr="00781948">
        <w:rPr>
          <w:sz w:val="22"/>
          <w:szCs w:val="22"/>
          <w:lang w:val="id-ID"/>
        </w:rPr>
        <w:t xml:space="preserve"> sp., </w:t>
      </w:r>
      <w:r w:rsidRPr="00781948">
        <w:rPr>
          <w:i/>
          <w:iCs/>
          <w:sz w:val="22"/>
          <w:szCs w:val="22"/>
          <w:lang w:val="id-ID"/>
        </w:rPr>
        <w:t>Trametes</w:t>
      </w:r>
      <w:r w:rsidRPr="00781948">
        <w:rPr>
          <w:sz w:val="22"/>
          <w:szCs w:val="22"/>
          <w:lang w:val="id-ID"/>
        </w:rPr>
        <w:t xml:space="preserve"> sp., </w:t>
      </w:r>
      <w:r w:rsidRPr="00781948">
        <w:rPr>
          <w:i/>
          <w:iCs/>
          <w:sz w:val="22"/>
          <w:szCs w:val="22"/>
          <w:lang w:val="id-ID"/>
        </w:rPr>
        <w:t>Microporus</w:t>
      </w:r>
      <w:r w:rsidRPr="00781948">
        <w:rPr>
          <w:sz w:val="22"/>
          <w:szCs w:val="22"/>
          <w:lang w:val="id-ID"/>
        </w:rPr>
        <w:t xml:space="preserve"> sp., </w:t>
      </w:r>
      <w:r w:rsidRPr="00781948">
        <w:rPr>
          <w:i/>
          <w:iCs/>
          <w:sz w:val="22"/>
          <w:szCs w:val="22"/>
          <w:lang w:val="id-ID"/>
        </w:rPr>
        <w:t>Daedalopsis</w:t>
      </w:r>
      <w:r w:rsidRPr="00781948">
        <w:rPr>
          <w:sz w:val="22"/>
          <w:szCs w:val="22"/>
          <w:lang w:val="id-ID"/>
        </w:rPr>
        <w:t xml:space="preserve"> sp., and </w:t>
      </w:r>
      <w:r w:rsidRPr="00781948">
        <w:rPr>
          <w:i/>
          <w:iCs/>
          <w:sz w:val="22"/>
          <w:szCs w:val="22"/>
          <w:lang w:val="id-ID"/>
        </w:rPr>
        <w:t>Podofomes</w:t>
      </w:r>
      <w:r w:rsidRPr="00781948">
        <w:rPr>
          <w:sz w:val="22"/>
          <w:szCs w:val="22"/>
          <w:lang w:val="id-ID"/>
        </w:rPr>
        <w:t xml:space="preserve"> sp. This is followed by </w:t>
      </w:r>
      <w:r w:rsidRPr="00781948">
        <w:rPr>
          <w:i/>
          <w:iCs/>
          <w:sz w:val="22"/>
          <w:szCs w:val="22"/>
          <w:lang w:val="id-ID"/>
        </w:rPr>
        <w:t>Hymenochaetaceae</w:t>
      </w:r>
      <w:r w:rsidRPr="00781948">
        <w:rPr>
          <w:sz w:val="22"/>
          <w:szCs w:val="22"/>
          <w:lang w:val="id-ID"/>
        </w:rPr>
        <w:t xml:space="preserve">, which includes two species: </w:t>
      </w:r>
      <w:r w:rsidRPr="00781948">
        <w:rPr>
          <w:i/>
          <w:iCs/>
          <w:sz w:val="22"/>
          <w:szCs w:val="22"/>
          <w:lang w:val="id-ID"/>
        </w:rPr>
        <w:t>Phylloporia</w:t>
      </w:r>
      <w:r w:rsidRPr="00781948">
        <w:rPr>
          <w:sz w:val="22"/>
          <w:szCs w:val="22"/>
          <w:lang w:val="id-ID"/>
        </w:rPr>
        <w:t xml:space="preserve"> sp. and </w:t>
      </w:r>
      <w:r w:rsidRPr="00781948">
        <w:rPr>
          <w:i/>
          <w:iCs/>
          <w:sz w:val="22"/>
          <w:szCs w:val="22"/>
          <w:lang w:val="id-ID"/>
        </w:rPr>
        <w:t>Phellinus</w:t>
      </w:r>
      <w:r w:rsidRPr="00781948">
        <w:rPr>
          <w:sz w:val="22"/>
          <w:szCs w:val="22"/>
          <w:lang w:val="id-ID"/>
        </w:rPr>
        <w:t xml:space="preserve"> sp. The remaining families each contributed to one species, including Irpicaceae (Irpex sp.), </w:t>
      </w:r>
      <w:r w:rsidRPr="00781948">
        <w:rPr>
          <w:i/>
          <w:iCs/>
          <w:sz w:val="22"/>
          <w:szCs w:val="22"/>
          <w:lang w:val="id-ID"/>
        </w:rPr>
        <w:t>Gloeophyllaceae</w:t>
      </w:r>
      <w:r w:rsidRPr="00781948">
        <w:rPr>
          <w:sz w:val="22"/>
          <w:szCs w:val="22"/>
          <w:lang w:val="id-ID"/>
        </w:rPr>
        <w:t xml:space="preserve"> (</w:t>
      </w:r>
      <w:r w:rsidRPr="00781948">
        <w:rPr>
          <w:i/>
          <w:iCs/>
          <w:sz w:val="22"/>
          <w:szCs w:val="22"/>
          <w:lang w:val="id-ID"/>
        </w:rPr>
        <w:t>Gloeophyllum</w:t>
      </w:r>
      <w:r w:rsidRPr="00781948">
        <w:rPr>
          <w:sz w:val="22"/>
          <w:szCs w:val="22"/>
          <w:lang w:val="id-ID"/>
        </w:rPr>
        <w:t xml:space="preserve"> sp.), </w:t>
      </w:r>
      <w:r w:rsidRPr="00781948">
        <w:rPr>
          <w:i/>
          <w:iCs/>
          <w:sz w:val="22"/>
          <w:szCs w:val="22"/>
          <w:lang w:val="id-ID"/>
        </w:rPr>
        <w:t>Stereaceae</w:t>
      </w:r>
      <w:r w:rsidRPr="00781948">
        <w:rPr>
          <w:sz w:val="22"/>
          <w:szCs w:val="22"/>
          <w:lang w:val="id-ID"/>
        </w:rPr>
        <w:t xml:space="preserve"> (</w:t>
      </w:r>
      <w:r w:rsidRPr="00781948">
        <w:rPr>
          <w:i/>
          <w:iCs/>
          <w:sz w:val="22"/>
          <w:szCs w:val="22"/>
          <w:lang w:val="id-ID"/>
        </w:rPr>
        <w:t>Stereum</w:t>
      </w:r>
      <w:r w:rsidRPr="00781948">
        <w:rPr>
          <w:sz w:val="22"/>
          <w:szCs w:val="22"/>
          <w:lang w:val="id-ID"/>
        </w:rPr>
        <w:t xml:space="preserve"> sp.), and </w:t>
      </w:r>
      <w:r w:rsidRPr="00781948">
        <w:rPr>
          <w:i/>
          <w:iCs/>
          <w:sz w:val="22"/>
          <w:szCs w:val="22"/>
          <w:lang w:val="id-ID"/>
        </w:rPr>
        <w:t>Xylariaceae</w:t>
      </w:r>
      <w:r w:rsidRPr="00781948">
        <w:rPr>
          <w:sz w:val="22"/>
          <w:szCs w:val="22"/>
          <w:lang w:val="id-ID"/>
        </w:rPr>
        <w:t xml:space="preserve"> (</w:t>
      </w:r>
      <w:r w:rsidRPr="00781948">
        <w:rPr>
          <w:i/>
          <w:iCs/>
          <w:sz w:val="22"/>
          <w:szCs w:val="22"/>
          <w:lang w:val="id-ID"/>
        </w:rPr>
        <w:t>Xylaria</w:t>
      </w:r>
      <w:r w:rsidRPr="00781948">
        <w:rPr>
          <w:sz w:val="22"/>
          <w:szCs w:val="22"/>
          <w:lang w:val="id-ID"/>
        </w:rPr>
        <w:t xml:space="preserve"> sp.). All macrofungi were found growing on wood or decaying logs. This study aligns with previous research by Rahayu et al. (2020), which highlighted the prevalence of wood-inhabiting fungi in coastal forest ecosystems. TWA Gunung Tunak qualifies as a coastal forest since it is bordered with the Indian Ocean in Central Lombok. </w:t>
      </w:r>
    </w:p>
    <w:p w14:paraId="3F7EA041" w14:textId="1D4B0032" w:rsidR="00C666AF" w:rsidRDefault="00000000" w:rsidP="00DB0452">
      <w:pPr>
        <w:widowControl w:val="0"/>
        <w:ind w:firstLine="540"/>
        <w:jc w:val="both"/>
        <w:rPr>
          <w:sz w:val="22"/>
          <w:szCs w:val="22"/>
          <w:lang w:val="id-ID"/>
        </w:rPr>
      </w:pPr>
      <w:r w:rsidRPr="00781948">
        <w:rPr>
          <w:sz w:val="22"/>
          <w:szCs w:val="22"/>
          <w:lang w:val="id-ID"/>
        </w:rPr>
        <w:t xml:space="preserve">The diversity of the macrofungi serve as an important indicator of ecosystem quality </w:t>
      </w:r>
      <w:r w:rsidRPr="00781948">
        <w:rPr>
          <w:sz w:val="22"/>
          <w:szCs w:val="22"/>
          <w:lang w:val="id-ID"/>
        </w:rPr>
        <w:fldChar w:fldCharType="begin"/>
      </w:r>
      <w:r w:rsidR="00B51C4F" w:rsidRPr="00781948">
        <w:rPr>
          <w:sz w:val="22"/>
          <w:szCs w:val="22"/>
          <w:lang w:val="id-ID"/>
        </w:rPr>
        <w:instrText xml:space="preserve"> ADDIN ZOTERO_ITEM CSL_CITATION {"citationID":"BjS40wjI","properties":{"formattedCitation":"(Yusran dkk., 2020)","plainCitation":"(Yusran dkk., 2020)","dontUpdate":true,"noteIndex":0},"citationItems":[{"id":"n67l8Wxv/3hAVYzyf","uris":["http://zotero.org/users/local/aclxgGd8/items/DX2B9Y2W"],"itemData":{"id":28,"type":"article-journal","abstract":"Abstract. Yusran Y, Erniwati E, Wahyuni D, Ramadhanil R, Khumaidi A. 2021. Diversity of macro fungus across three altitudinal ranges in Lore Lindu National Park, Central Sulawesi, Indonesia and their utilization by local residents. Biodiversitas 22: 199-210. A large amount of biodiversity research has been carried out in Lore Lindu National Park, a major biodiversity center in Central Sulawesi, Indonesia, but none have investigated the biodiversity of macrofungi and their traditional utilization. Therefore, this study aimed to explore the diversity of macro fungus in Lore Lindu National Park, and to identify their potential uses as food sources and medicinal uses by the local residents living around Lore Lindu National Park. Exploration of macrofungus species in Lore Lindu National Park was done at three locations representing three altitudinal ranges: (i) &lt;500 m above sea level (asl); (ii) 500–1500 m asl; and &gt;1500 m asl. Ten plots were placed in two major lines with a 100 m distance between plots in each sampling location. All macrofungi within the observation plots were then documented and identified. Ethnomycological studies were done by asking questionnaire to selective respondents, group discussion, and pictorial presentation studies to random respondents in five villages located in the buffer zone of the national park area. This study found 172 species (including unidentified species/sp.) from 33 families of macro fungus in Lore Lindu National Park in which 159 of them belong to the Basidiomycota division, while 13 of them were of the Ascomycota division. Our results also showed varying diversity of macrofungus at different altitudes. At the elevation of &lt;500 m asl, as many 77 species were found, while 117 and 142 species were found at the elevation of 500-1500 and &gt;1500 m asl, respectively. Marasmius spp and Hygrocybe spp were the most abundant genera, and nine species (i.e. Schizophyllum commune, Termytomyces sp, Auricularia auricular-judge, Auricularia sp., Pleurotus ostreatus, Ganoderma lucidum, Xylaria sp., Agaricus sp. dan Lentinus sajor-caju) were utilized as a food source and in traditional medicine by the residents around the national park area.","container-title":"Biodiversitas Journal of Biological Diversity","DOI":"10.13057/biodiv/d220126","ISSN":"2085-4722, 1412-033X","issue":"1","journalAbbreviation":"Biodiversitas","note":"number: 1","source":"DOI.org (Crossref)","title":"Diversity of macro fungus across three altitudinal ranges in Lore Lindu National Park, Central Sulawesi, Indonesia and their utilization by local residents","URL":"https://smujo.id/biodiv/article/view/6899","volume":"22","author":[{"family":"Yusran","given":"Yusran"},{"family":"Erniwati","given":"Erniwati"},{"family":"Wahyuni","given":"Dewi"},{"family":"Ramadhanil","given":"Ramadhanil"},{"family":"Khumaidi","given":"Akhmad"}],"accessed":{"date-parts":[["2024",4,17]]},"issued":{"date-parts":[["2020",12,24]]}}}],"schema":"https://github.com/citation-style-language/schema/raw/master/csl-citation.json"} </w:instrText>
      </w:r>
      <w:r w:rsidRPr="00781948">
        <w:rPr>
          <w:sz w:val="22"/>
          <w:szCs w:val="22"/>
          <w:lang w:val="id-ID"/>
        </w:rPr>
        <w:fldChar w:fldCharType="separate"/>
      </w:r>
      <w:r w:rsidRPr="00781948">
        <w:rPr>
          <w:sz w:val="22"/>
          <w:szCs w:val="22"/>
          <w:lang w:val="id-ID"/>
        </w:rPr>
        <w:t>(Yusran et al., 2020)</w:t>
      </w:r>
      <w:r w:rsidRPr="00781948">
        <w:rPr>
          <w:sz w:val="22"/>
          <w:szCs w:val="22"/>
          <w:lang w:val="id-ID"/>
        </w:rPr>
        <w:fldChar w:fldCharType="end"/>
      </w:r>
      <w:r w:rsidRPr="00781948">
        <w:rPr>
          <w:sz w:val="22"/>
          <w:szCs w:val="22"/>
          <w:lang w:val="id-ID"/>
        </w:rPr>
        <w:t xml:space="preserve">. The variety of macrofungal species present is closely linked to the dominant tree species that comprise the forest vegetation </w:t>
      </w:r>
      <w:r w:rsidRPr="00781948">
        <w:rPr>
          <w:sz w:val="22"/>
          <w:szCs w:val="22"/>
          <w:lang w:val="id-ID"/>
        </w:rPr>
        <w:fldChar w:fldCharType="begin"/>
      </w:r>
      <w:r w:rsidR="00B51C4F" w:rsidRPr="00781948">
        <w:rPr>
          <w:sz w:val="22"/>
          <w:szCs w:val="22"/>
          <w:lang w:val="id-ID"/>
        </w:rPr>
        <w:instrText xml:space="preserve"> ADDIN ZOTERO_ITEM CSL_CITATION {"citationID":"vA35mIy5","properties":{"unsorted":true,"formattedCitation":"(Kutszegi dkk., 2021; Collado dkk., 2021)","plainCitation":"(Kutszegi dkk., 2021; Collado dkk., 2021)","dontUpdate":true,"noteIndex":0},"citationItems":[{"id":"n67l8Wxv/vlVOpkkB","uris":["http://zotero.org/users/local/aclxgGd8/items/JDZTAYAK"],"itemData":{"id":160,"type":"article-journal","abstract":"Abstract\n            We explored the most influential stand-scaled drivers of ectomycorrhizal, terricolous saprotrophic, and wood-inhabiting (main functional groups) macrofungal species richness in mixed forests by applying regression models. We tested 67 potential explanatory variables representing tree species composition, stand structure, soil and litter conditions, microclimate, landscape structure, and management history. Within the main functional groups, we formed and modeled guilds and used their drivers to more objectively interpret the drivers of the main functional groups. Terricolous saprotrophic fungi were supported by air humidity and litter mass. Ectomycorrhizal fungi were suppressed by high soil nitrogen content and high air temperature. Wood saprotrophs were enhanced by litter pH (deciduous habitats), deadwood cover, and beech proportion. Wood saprotrophic guilds were determined often by drivers with hidden effects on all wood saprotrophs: non-parasites: total deadwood cover; parasites: beech proportion; white rotters: litter pH; brown rotters: air temperature (negatively); endophytes: beech proportion; early ruderals: deciduous stands that were formerly meadows; combative invaders: deciduous tree taxa; heart rotters: coarse woody debris; late stage specialists: deciduous deadwood. Terricolous saprotrophic cord formers positively responded to litter mass. Studying the drivers of guilds simultaneously, beech was a keystone species to maintain fungal diversity in the region, and coniferous stands would be more diverse by introducing deciduous tree species. Guilds were determined by drivers different from each other underlining their different functional roles and segregated substrate preferences. Modeling guilds of fungal species with concordant response to the environment would be powerful to explore and understand the functioning of fungal communities.","container-title":"Community Ecology","DOI":"10.1007/s42974-020-00031-6","ISSN":"1585-8553, 1588-2756","issue":"1","journalAbbreviation":"COMMUNITY ECOLOGY","language":"en","page":"13-28","source":"DOI.org (Crossref)","title":"Revealing hidden drivers of macrofungal species richness by analyzing fungal guilds in temperate forests, West Hungary","volume":"22","author":[{"family":"Kutszegi","given":"Gergely"},{"family":"Siller","given":"Irén"},{"family":"Dima","given":"Bálint"},{"family":"Merényi","given":"Zsolt"},{"family":"Varga","given":"Torda"},{"family":"Takács","given":"Katalin"},{"family":"Turcsányi","given":"Gábor"},{"family":"Bidló","given":"András"},{"family":"Ódor","given":"Péter"}],"issued":{"date-parts":[["2021",4]]}}},{"id":"n67l8Wxv/xwqqZ3em","uris":["http://zotero.org/users/local/aclxgGd8/items/N9ZKWBYD"],"itemData":{"id":162,"type":"article-journal","container-title":"Ecological Indicators","DOI":"10.1016/j.ecolind.2021.108340","ISSN":"1470160X","journalAbbreviation":"Ecological Indicators","language":"en","page":"108340","source":"DOI.org (Crossref)","title":"Impact of forest thinning on aboveground macrofungal community composition and diversity in Mediterranean pine stands","volume":"133","author":[{"family":"Collado","given":"E."},{"family":"Bonet","given":"J.A."},{"family":"Alday","given":"J.G."},{"family":"Martínez De Aragón","given":"J."},{"family":"Miguel","given":"S.","non-dropping-particle":"de-"}],"issued":{"date-parts":[["2021",12]]}}}],"schema":"https://github.com/citation-style-language/schema/raw/master/csl-citation.json"} </w:instrText>
      </w:r>
      <w:r w:rsidRPr="00781948">
        <w:rPr>
          <w:sz w:val="22"/>
          <w:szCs w:val="22"/>
          <w:lang w:val="id-ID"/>
        </w:rPr>
        <w:fldChar w:fldCharType="separate"/>
      </w:r>
      <w:r w:rsidRPr="00781948">
        <w:rPr>
          <w:sz w:val="22"/>
          <w:szCs w:val="22"/>
          <w:lang w:val="id-ID"/>
        </w:rPr>
        <w:t>(Kutszegi et al., 2021; Collado et al., 2021)</w:t>
      </w:r>
      <w:r w:rsidRPr="00781948">
        <w:rPr>
          <w:sz w:val="22"/>
          <w:szCs w:val="22"/>
          <w:lang w:val="id-ID"/>
        </w:rPr>
        <w:fldChar w:fldCharType="end"/>
      </w:r>
      <w:r w:rsidRPr="00781948">
        <w:rPr>
          <w:sz w:val="22"/>
          <w:szCs w:val="22"/>
          <w:lang w:val="id-ID"/>
        </w:rPr>
        <w:t xml:space="preserve">. Additionally, the diversity and distribution of the macrofungal community are influenced by microclimatic conditions, including temperature, humidity, light, decomposed organic matter, and soil characteristics </w:t>
      </w:r>
      <w:r w:rsidRPr="00781948">
        <w:rPr>
          <w:sz w:val="22"/>
          <w:szCs w:val="22"/>
          <w:lang w:val="id-ID"/>
        </w:rPr>
        <w:fldChar w:fldCharType="begin"/>
      </w:r>
      <w:r w:rsidR="00B51C4F" w:rsidRPr="00781948">
        <w:rPr>
          <w:sz w:val="22"/>
          <w:szCs w:val="22"/>
          <w:lang w:val="id-ID"/>
        </w:rPr>
        <w:instrText xml:space="preserve"> ADDIN ZOTERO_ITEM CSL_CITATION {"citationID":"LPwoD4bF","properties":{"unsorted":true,"formattedCitation":"(Alem dkk., 2021; Santos-Silva dkk., 2011; Conn &amp; Dighton, 2000)","plainCitation":"(Alem dkk., 2021; Santos-Silva dkk., 2011; Conn &amp; Dighton, 2000)","dontUpdate":true,"noteIndex":0},"citationItems":[{"id":"n67l8Wxv/fgMLDhAJ","uris":["http://zotero.org/users/local/aclxgGd8/items/RTPBA2U4"],"itemData":{"id":164,"type":"article-journal","container-title":"Forest Ecology and Management","DOI":"10.1016/j.foreco.2021.119391","ISSN":"03781127","journalAbbreviation":"Forest Ecology and Management","language":"en","page":"119391","source":"DOI.org (Crossref)","title":"Survey of macrofungal diversity and analysis of edaphic factors influencing the fungal community of church forests in Dry Afromontane areas of Northern Ethiopia","volume":"496","author":[{"family":"Alem","given":"Demelash"},{"family":"Dejene","given":"Tatek"},{"family":"Oria-de-Rueda","given":"Juan Andrés"},{"family":"Martín-Pinto","given":"Pablo"}],"issued":{"date-parts":[["2021",9]]}}},{"id":"n67l8Wxv/CGITndRK","uris":["http://zotero.org/users/local/aclxgGd8/items/7TXTEUAH"],"itemData":{"id":163,"type":"article-journal","container-title":"Agroforestry Systems","DOI":"10.1007/s10457-011-9374-7","ISSN":"0167-4366, 1572-9680","issue":"2","journalAbbreviation":"Agroforest Syst","language":"en","license":"http://www.springer.com/tdm","page":"149-159","source":"DOI.org (Crossref)","title":"Canopy cover influence on macrofungal richness and sporocarp production in montado ecosystems","volume":"82","author":[{"family":"Santos-Silva","given":"C."},{"family":"Gonçalves","given":"A."},{"family":"Louro","given":"R."}],"issued":{"date-parts":[["2011",6]]}}},{"id":"n67l8Wxv/u9uEAUYw","uris":["http://zotero.org/users/local/aclxgGd8/items/KZE3FQZN"],"itemData":{"id":165,"type":"article-journal","container-title":"Soil Biology and Biochemistry","DOI":"10.1016/S0038-0717(99)00178-9","ISSN":"00380717","issue":"4","journalAbbreviation":"Soil Biology and Biochemistry","language":"en","license":"https://www.elsevier.com/tdm/userlicense/1.0/","page":"489-496","source":"DOI.org (Crossref)","title":"Litter quality influences on decomposition, ectomycorrhizal community structure and mycorrhizal root surface acid phosphatase activity","volume":"32","author":[{"family":"Conn","given":"Christine"},{"family":"Dighton","given":"John"}],"issued":{"date-parts":[["2000",4]]}}}],"schema":"https://github.com/citation-style-language/schema/raw/master/csl-citation.json"} </w:instrText>
      </w:r>
      <w:r w:rsidRPr="00781948">
        <w:rPr>
          <w:sz w:val="22"/>
          <w:szCs w:val="22"/>
          <w:lang w:val="id-ID"/>
        </w:rPr>
        <w:fldChar w:fldCharType="separate"/>
      </w:r>
      <w:r w:rsidRPr="00781948">
        <w:rPr>
          <w:sz w:val="22"/>
          <w:szCs w:val="22"/>
          <w:lang w:val="id-ID"/>
        </w:rPr>
        <w:t>(Alem et al., 2021; Santos-Silva et al., 2011; Conn &amp; Dighton, 2000)</w:t>
      </w:r>
      <w:r w:rsidRPr="00781948">
        <w:rPr>
          <w:sz w:val="22"/>
          <w:szCs w:val="22"/>
          <w:lang w:val="id-ID"/>
        </w:rPr>
        <w:fldChar w:fldCharType="end"/>
      </w:r>
      <w:r w:rsidRPr="00781948">
        <w:rPr>
          <w:sz w:val="22"/>
          <w:szCs w:val="22"/>
          <w:lang w:val="id-ID"/>
        </w:rPr>
        <w:t>.</w:t>
      </w:r>
    </w:p>
    <w:p w14:paraId="51B95503" w14:textId="77777777" w:rsidR="00DB0452" w:rsidRDefault="00DB0452" w:rsidP="00DB0452">
      <w:pPr>
        <w:widowControl w:val="0"/>
        <w:jc w:val="both"/>
        <w:rPr>
          <w:sz w:val="22"/>
          <w:szCs w:val="22"/>
          <w:lang w:val="id-ID"/>
        </w:rPr>
      </w:pPr>
    </w:p>
    <w:p w14:paraId="024FB6D6" w14:textId="77777777" w:rsidR="00DB0452" w:rsidRDefault="00DB0452" w:rsidP="00DB0452">
      <w:pPr>
        <w:jc w:val="center"/>
        <w:rPr>
          <w:sz w:val="20"/>
          <w:szCs w:val="20"/>
          <w:lang w:val="id-ID"/>
        </w:rPr>
      </w:pPr>
      <w:r w:rsidRPr="00DB0452">
        <w:rPr>
          <w:b/>
          <w:bCs/>
          <w:sz w:val="20"/>
          <w:szCs w:val="20"/>
          <w:lang w:val="id-ID"/>
        </w:rPr>
        <w:t>Table 2.</w:t>
      </w:r>
      <w:r w:rsidRPr="00DB0452">
        <w:rPr>
          <w:sz w:val="20"/>
          <w:szCs w:val="20"/>
          <w:lang w:val="id-ID"/>
        </w:rPr>
        <w:t xml:space="preserve"> The results of the Shannon-Wiener Diversity </w:t>
      </w:r>
      <w:r>
        <w:rPr>
          <w:sz w:val="20"/>
          <w:szCs w:val="20"/>
          <w:lang w:val="id-ID"/>
        </w:rPr>
        <w:t>Indeks</w:t>
      </w:r>
    </w:p>
    <w:p w14:paraId="4725E23E" w14:textId="77777777" w:rsidR="00DB0452" w:rsidRPr="00DB0452" w:rsidRDefault="00DB0452" w:rsidP="00DB0452">
      <w:pPr>
        <w:jc w:val="center"/>
        <w:rPr>
          <w:sz w:val="10"/>
          <w:szCs w:val="10"/>
          <w:lang w:val="id-ID"/>
        </w:rPr>
      </w:pPr>
    </w:p>
    <w:tbl>
      <w:tblPr>
        <w:tblStyle w:val="TableGrid"/>
        <w:tblW w:w="37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521"/>
        <w:gridCol w:w="1350"/>
      </w:tblGrid>
      <w:tr w:rsidR="00DB0452" w:rsidRPr="00DB0452" w14:paraId="1FF4640E" w14:textId="77777777" w:rsidTr="00E47FCE">
        <w:trPr>
          <w:jc w:val="center"/>
        </w:trPr>
        <w:tc>
          <w:tcPr>
            <w:tcW w:w="900" w:type="dxa"/>
            <w:tcBorders>
              <w:top w:val="single" w:sz="4" w:space="0" w:color="auto"/>
              <w:bottom w:val="single" w:sz="4" w:space="0" w:color="auto"/>
            </w:tcBorders>
          </w:tcPr>
          <w:p w14:paraId="13654EB4" w14:textId="77777777" w:rsidR="00DB0452" w:rsidRPr="00DB0452" w:rsidRDefault="00DB0452" w:rsidP="00E47FCE">
            <w:pPr>
              <w:rPr>
                <w:b/>
                <w:bCs/>
                <w:sz w:val="20"/>
                <w:szCs w:val="20"/>
                <w:lang w:val="id-ID"/>
              </w:rPr>
            </w:pPr>
            <w:r w:rsidRPr="00DB0452">
              <w:rPr>
                <w:b/>
                <w:bCs/>
                <w:sz w:val="20"/>
                <w:szCs w:val="20"/>
                <w:lang w:val="id-ID"/>
              </w:rPr>
              <w:t>Trail</w:t>
            </w:r>
          </w:p>
        </w:tc>
        <w:tc>
          <w:tcPr>
            <w:tcW w:w="1521" w:type="dxa"/>
            <w:tcBorders>
              <w:top w:val="single" w:sz="4" w:space="0" w:color="auto"/>
              <w:bottom w:val="single" w:sz="4" w:space="0" w:color="auto"/>
            </w:tcBorders>
          </w:tcPr>
          <w:p w14:paraId="30890245" w14:textId="77777777" w:rsidR="00DB0452" w:rsidRPr="00DB0452" w:rsidRDefault="00DB0452" w:rsidP="00E47FCE">
            <w:pPr>
              <w:rPr>
                <w:b/>
                <w:bCs/>
                <w:sz w:val="20"/>
                <w:szCs w:val="20"/>
                <w:lang w:val="id-ID"/>
              </w:rPr>
            </w:pPr>
            <w:r w:rsidRPr="00DB0452">
              <w:rPr>
                <w:b/>
                <w:bCs/>
                <w:sz w:val="20"/>
                <w:szCs w:val="20"/>
                <w:lang w:val="id-ID"/>
              </w:rPr>
              <w:t>Index Value</w:t>
            </w:r>
          </w:p>
        </w:tc>
        <w:tc>
          <w:tcPr>
            <w:tcW w:w="1350" w:type="dxa"/>
            <w:tcBorders>
              <w:top w:val="single" w:sz="4" w:space="0" w:color="auto"/>
              <w:bottom w:val="single" w:sz="4" w:space="0" w:color="auto"/>
            </w:tcBorders>
          </w:tcPr>
          <w:p w14:paraId="1328D15C" w14:textId="77777777" w:rsidR="00DB0452" w:rsidRPr="00DB0452" w:rsidRDefault="00DB0452" w:rsidP="00E47FCE">
            <w:pPr>
              <w:rPr>
                <w:b/>
                <w:bCs/>
                <w:sz w:val="20"/>
                <w:szCs w:val="20"/>
                <w:lang w:val="id-ID"/>
              </w:rPr>
            </w:pPr>
            <w:r w:rsidRPr="00DB0452">
              <w:rPr>
                <w:b/>
                <w:bCs/>
                <w:sz w:val="20"/>
                <w:szCs w:val="20"/>
                <w:lang w:val="id-ID"/>
              </w:rPr>
              <w:t>Category</w:t>
            </w:r>
          </w:p>
        </w:tc>
      </w:tr>
      <w:tr w:rsidR="00DB0452" w:rsidRPr="00DB0452" w14:paraId="483B8E8F" w14:textId="77777777" w:rsidTr="00E47FCE">
        <w:trPr>
          <w:jc w:val="center"/>
        </w:trPr>
        <w:tc>
          <w:tcPr>
            <w:tcW w:w="900" w:type="dxa"/>
          </w:tcPr>
          <w:p w14:paraId="7DAF384F" w14:textId="77777777" w:rsidR="00DB0452" w:rsidRPr="00DB0452" w:rsidRDefault="00DB0452" w:rsidP="00E47FCE">
            <w:pPr>
              <w:rPr>
                <w:sz w:val="20"/>
                <w:szCs w:val="20"/>
                <w:lang w:val="id-ID"/>
              </w:rPr>
            </w:pPr>
            <w:r w:rsidRPr="00DB0452">
              <w:rPr>
                <w:sz w:val="20"/>
                <w:szCs w:val="20"/>
                <w:lang w:val="id-ID"/>
              </w:rPr>
              <w:t>Trail 1</w:t>
            </w:r>
          </w:p>
        </w:tc>
        <w:tc>
          <w:tcPr>
            <w:tcW w:w="1521" w:type="dxa"/>
          </w:tcPr>
          <w:p w14:paraId="46103CFD" w14:textId="77777777" w:rsidR="00DB0452" w:rsidRPr="00DB0452" w:rsidRDefault="00DB0452" w:rsidP="00E47FCE">
            <w:pPr>
              <w:rPr>
                <w:sz w:val="20"/>
                <w:szCs w:val="20"/>
                <w:lang w:val="id-ID"/>
              </w:rPr>
            </w:pPr>
            <w:r w:rsidRPr="00DB0452">
              <w:rPr>
                <w:sz w:val="20"/>
                <w:szCs w:val="20"/>
                <w:lang w:val="id-ID"/>
              </w:rPr>
              <w:t>1,976</w:t>
            </w:r>
          </w:p>
        </w:tc>
        <w:tc>
          <w:tcPr>
            <w:tcW w:w="1350" w:type="dxa"/>
          </w:tcPr>
          <w:p w14:paraId="78008D59" w14:textId="77777777" w:rsidR="00DB0452" w:rsidRPr="00DB0452" w:rsidRDefault="00DB0452" w:rsidP="00E47FCE">
            <w:pPr>
              <w:rPr>
                <w:sz w:val="20"/>
                <w:szCs w:val="20"/>
                <w:lang w:val="id-ID"/>
              </w:rPr>
            </w:pPr>
            <w:r w:rsidRPr="00DB0452">
              <w:rPr>
                <w:sz w:val="20"/>
                <w:szCs w:val="20"/>
                <w:lang w:val="id-ID"/>
              </w:rPr>
              <w:t>Moderate</w:t>
            </w:r>
          </w:p>
        </w:tc>
      </w:tr>
      <w:tr w:rsidR="00DB0452" w:rsidRPr="00DB0452" w14:paraId="4DC24D27" w14:textId="77777777" w:rsidTr="00E47FCE">
        <w:trPr>
          <w:jc w:val="center"/>
        </w:trPr>
        <w:tc>
          <w:tcPr>
            <w:tcW w:w="900" w:type="dxa"/>
          </w:tcPr>
          <w:p w14:paraId="2FD8EE46" w14:textId="77777777" w:rsidR="00DB0452" w:rsidRPr="00DB0452" w:rsidRDefault="00DB0452" w:rsidP="00E47FCE">
            <w:pPr>
              <w:rPr>
                <w:sz w:val="20"/>
                <w:szCs w:val="20"/>
                <w:lang w:val="id-ID"/>
              </w:rPr>
            </w:pPr>
            <w:r w:rsidRPr="00DB0452">
              <w:rPr>
                <w:sz w:val="20"/>
                <w:szCs w:val="20"/>
                <w:lang w:val="id-ID"/>
              </w:rPr>
              <w:t>Trail 2</w:t>
            </w:r>
          </w:p>
        </w:tc>
        <w:tc>
          <w:tcPr>
            <w:tcW w:w="1521" w:type="dxa"/>
          </w:tcPr>
          <w:p w14:paraId="3039C39B" w14:textId="77777777" w:rsidR="00DB0452" w:rsidRPr="00DB0452" w:rsidRDefault="00DB0452" w:rsidP="00E47FCE">
            <w:pPr>
              <w:rPr>
                <w:sz w:val="20"/>
                <w:szCs w:val="20"/>
                <w:lang w:val="id-ID"/>
              </w:rPr>
            </w:pPr>
            <w:r w:rsidRPr="00DB0452">
              <w:rPr>
                <w:sz w:val="20"/>
                <w:szCs w:val="20"/>
                <w:lang w:val="id-ID"/>
              </w:rPr>
              <w:t>2,003</w:t>
            </w:r>
          </w:p>
        </w:tc>
        <w:tc>
          <w:tcPr>
            <w:tcW w:w="1350" w:type="dxa"/>
          </w:tcPr>
          <w:p w14:paraId="3311D26C" w14:textId="77777777" w:rsidR="00DB0452" w:rsidRPr="00DB0452" w:rsidRDefault="00DB0452" w:rsidP="00E47FCE">
            <w:pPr>
              <w:rPr>
                <w:sz w:val="20"/>
                <w:szCs w:val="20"/>
                <w:lang w:val="id-ID"/>
              </w:rPr>
            </w:pPr>
            <w:r w:rsidRPr="00DB0452">
              <w:rPr>
                <w:sz w:val="20"/>
                <w:szCs w:val="20"/>
                <w:lang w:val="id-ID"/>
              </w:rPr>
              <w:t>Moderate</w:t>
            </w:r>
          </w:p>
        </w:tc>
      </w:tr>
      <w:tr w:rsidR="00DB0452" w:rsidRPr="00DB0452" w14:paraId="73A4500E" w14:textId="77777777" w:rsidTr="00E47FCE">
        <w:trPr>
          <w:jc w:val="center"/>
        </w:trPr>
        <w:tc>
          <w:tcPr>
            <w:tcW w:w="900" w:type="dxa"/>
            <w:tcBorders>
              <w:bottom w:val="single" w:sz="4" w:space="0" w:color="auto"/>
            </w:tcBorders>
          </w:tcPr>
          <w:p w14:paraId="3216BBCB" w14:textId="77777777" w:rsidR="00DB0452" w:rsidRPr="00DB0452" w:rsidRDefault="00DB0452" w:rsidP="00E47FCE">
            <w:pPr>
              <w:rPr>
                <w:sz w:val="20"/>
                <w:szCs w:val="20"/>
                <w:lang w:val="id-ID"/>
              </w:rPr>
            </w:pPr>
            <w:r w:rsidRPr="00DB0452">
              <w:rPr>
                <w:sz w:val="20"/>
                <w:szCs w:val="20"/>
                <w:lang w:val="id-ID"/>
              </w:rPr>
              <w:t>Trail 3</w:t>
            </w:r>
          </w:p>
        </w:tc>
        <w:tc>
          <w:tcPr>
            <w:tcW w:w="1521" w:type="dxa"/>
            <w:tcBorders>
              <w:bottom w:val="single" w:sz="4" w:space="0" w:color="auto"/>
            </w:tcBorders>
          </w:tcPr>
          <w:p w14:paraId="2D2F206E" w14:textId="77777777" w:rsidR="00DB0452" w:rsidRPr="00DB0452" w:rsidRDefault="00DB0452" w:rsidP="00E47FCE">
            <w:pPr>
              <w:rPr>
                <w:sz w:val="20"/>
                <w:szCs w:val="20"/>
                <w:lang w:val="id-ID"/>
              </w:rPr>
            </w:pPr>
            <w:r w:rsidRPr="00DB0452">
              <w:rPr>
                <w:sz w:val="20"/>
                <w:szCs w:val="20"/>
                <w:lang w:val="id-ID"/>
              </w:rPr>
              <w:t>1,290</w:t>
            </w:r>
          </w:p>
        </w:tc>
        <w:tc>
          <w:tcPr>
            <w:tcW w:w="1350" w:type="dxa"/>
            <w:tcBorders>
              <w:bottom w:val="single" w:sz="4" w:space="0" w:color="auto"/>
            </w:tcBorders>
          </w:tcPr>
          <w:p w14:paraId="03FBF2F5" w14:textId="77777777" w:rsidR="00DB0452" w:rsidRPr="00DB0452" w:rsidRDefault="00DB0452" w:rsidP="00E47FCE">
            <w:pPr>
              <w:rPr>
                <w:sz w:val="20"/>
                <w:szCs w:val="20"/>
                <w:lang w:val="id-ID"/>
              </w:rPr>
            </w:pPr>
            <w:r w:rsidRPr="00DB0452">
              <w:rPr>
                <w:sz w:val="20"/>
                <w:szCs w:val="20"/>
                <w:lang w:val="id-ID"/>
              </w:rPr>
              <w:t>Moderate</w:t>
            </w:r>
          </w:p>
        </w:tc>
      </w:tr>
    </w:tbl>
    <w:p w14:paraId="0345CEF2" w14:textId="77777777" w:rsidR="00C666AF" w:rsidRPr="00781948" w:rsidRDefault="00C666AF">
      <w:pPr>
        <w:rPr>
          <w:sz w:val="22"/>
          <w:szCs w:val="22"/>
          <w:lang w:val="id-ID"/>
        </w:rPr>
      </w:pPr>
    </w:p>
    <w:p w14:paraId="4E63AA20" w14:textId="43B9F553" w:rsidR="00C666AF" w:rsidRPr="00781948" w:rsidRDefault="00000000" w:rsidP="00DB0452">
      <w:pPr>
        <w:widowControl w:val="0"/>
        <w:ind w:firstLine="540"/>
        <w:jc w:val="both"/>
        <w:rPr>
          <w:sz w:val="22"/>
          <w:szCs w:val="22"/>
          <w:lang w:val="id-ID"/>
        </w:rPr>
      </w:pPr>
      <w:r w:rsidRPr="00781948">
        <w:rPr>
          <w:sz w:val="22"/>
          <w:szCs w:val="22"/>
          <w:lang w:val="id-ID"/>
        </w:rPr>
        <w:t xml:space="preserve">The Shannon Wienner Diversity Index for the macrofungi in TWA Gunung Tunak has a value of indicating a moderate level of biodiversity. This assessment is estimated because sampling was conducted during the dry season, when the environment conditions are not optimal for the macrofungal growth. The diversity of the macrofungi is influenced by suitable habitat conditions, such as optimal substrate and canopy cover, which help maintain moisture levels </w:t>
      </w:r>
      <w:r w:rsidRPr="00781948">
        <w:rPr>
          <w:sz w:val="22"/>
          <w:szCs w:val="22"/>
          <w:lang w:val="id-ID"/>
        </w:rPr>
        <w:fldChar w:fldCharType="begin"/>
      </w:r>
      <w:r w:rsidR="00B51C4F" w:rsidRPr="00781948">
        <w:rPr>
          <w:sz w:val="22"/>
          <w:szCs w:val="22"/>
          <w:lang w:val="id-ID"/>
        </w:rPr>
        <w:instrText xml:space="preserve"> ADDIN ZOTERO_ITEM CSL_CITATION {"citationID":"vmeyMhuB","properties":{"formattedCitation":"(Trudell &amp; Edmonds, 2004)","plainCitation":"(Trudell &amp; Edmonds, 2004)","noteIndex":0},"citationItems":[{"id":"n67l8Wxv/RkOhzlcq","uris":["http://zotero.org/users/local/aclxgGd8/items/R8835FWP"],"itemData":{"id":167,"type":"article-journal","abstract":"We characterized the epigeous macrofungus communities in two old-growth conifer forests by collecting sporocarps. Despite the similarity in dominant tree species in the two forests, the macrofungus communities were very different. At the drier, nitrogen-poor Deer Park area, the macrofungi were dominated by ectomycorrhizal species in the genera Cortinarius, Tricholoma, Hydnellum, Suillus, and Sarcodon. At the wetter, higher nitrogen Hoh Valley, the macrofungi were characterized by ectomycorrhizal species in different genera, such as Inocybe, Russula, Amanita, Boletus, and Phaeocollybia, and saprotrophic fungi accounted for a greater proportion of the community. Species richness was similar at the two areas, but sporocarp production was much higher at Deer Park. We propose that (i) these community differences developed over a long time; (ii) they are largely related to differences in ecosystem moisture and nitrogen abundance; and (iii) within the ectomycorrhizal fungi, possible causal mechanisms involve mycelial morphology and carbon allocation within the symbioses. The apparent response to relatively small but presumably long-term differences in nitrogen abundance suggests that sporocarp production by macrofungi could be an effective bioindicator and should be considered in determination of critical loads for atmospheric nitrogen deposition to temperate and boreal forests.Key words: critical nitrogen loads, ectomycorrhizal fungi, macrofungi, macrofungus communities, nitrogen, old-growth conifer forests.","container-title":"Canadian Journal of Botany","DOI":"10.1139/b04-057","ISSN":"0008-4026","issue":"6","journalAbbreviation":"Can. J. Bot.","language":"en","license":"http://www.nrcresearchpress.com/page/about/CorporateTextAndDataMining","page":"781-800","source":"DOI.org (Crossref)","title":"Macrofungus communities correlate with moisture and nitrogen abundance in two old-growth conifer forests, Olympic National Park, Washington, USA","volume":"82","author":[{"family":"Trudell","given":"Steven A"},{"family":"Edmonds","given":"Robert L"}],"issued":{"date-parts":[["2004",6,1]]}}}],"schema":"https://github.com/citation-style-language/schema/raw/master/csl-citation.json"} </w:instrText>
      </w:r>
      <w:r w:rsidRPr="00781948">
        <w:rPr>
          <w:sz w:val="22"/>
          <w:szCs w:val="22"/>
          <w:lang w:val="id-ID"/>
        </w:rPr>
        <w:fldChar w:fldCharType="separate"/>
      </w:r>
      <w:r w:rsidR="00B51C4F" w:rsidRPr="00781948">
        <w:rPr>
          <w:sz w:val="22"/>
          <w:lang w:val="id-ID"/>
        </w:rPr>
        <w:t>(Trudell &amp; Edmonds, 2004)</w:t>
      </w:r>
      <w:r w:rsidRPr="00781948">
        <w:rPr>
          <w:sz w:val="22"/>
          <w:szCs w:val="22"/>
          <w:lang w:val="id-ID"/>
        </w:rPr>
        <w:fldChar w:fldCharType="end"/>
      </w:r>
      <w:r w:rsidRPr="00781948">
        <w:rPr>
          <w:sz w:val="22"/>
          <w:szCs w:val="22"/>
          <w:lang w:val="id-ID"/>
        </w:rPr>
        <w:t xml:space="preserve">. According to </w:t>
      </w:r>
      <w:r w:rsidRPr="00781948">
        <w:rPr>
          <w:sz w:val="22"/>
          <w:szCs w:val="22"/>
          <w:lang w:val="id-ID"/>
        </w:rPr>
        <w:fldChar w:fldCharType="begin"/>
      </w:r>
      <w:r w:rsidR="00B51C4F" w:rsidRPr="00781948">
        <w:rPr>
          <w:sz w:val="22"/>
          <w:szCs w:val="22"/>
          <w:lang w:val="id-ID"/>
        </w:rPr>
        <w:instrText xml:space="preserve"> ADDIN ZOTERO_ITEM CSL_CITATION {"citationID":"us5eXDJI","properties":{"custom":"Priyamvada et al., (2017)","formattedCitation":"Priyamvada et al., (2017)","plainCitation":"Priyamvada et al., (2017)","noteIndex":0},"citationItems":[{"id":"n67l8Wxv/atMemvB1","uris":["http://zotero.org/users/local/aclxgGd8/items/TBT67WUL"],"itemData":{"id":169,"type":"article-journal","container-title":"PLOS ONE","DOI":"10.1371/journal.pone.0169333","ISSN":"1932-6203","issue":"1","journalAbbreviation":"PLoS ONE","language":"en","page":"e0169333","source":"DOI.org (Crossref)","title":"Terrestrial Macrofungal Diversity from the Tropical Dry Evergreen Biome of Southern India and Its Potential Role in Aerobiology","volume":"12","author":[{"family":"Priyamvada","given":"Hema"},{"family":"Akila","given":"M."},{"family":"Singh","given":"Raj Kamal"},{"family":"Ravikrishna","given":"R."},{"family":"Verma","given":"R. S."},{"family":"Philip","given":"Ligy"},{"family":"Marathe","given":"R. R."},{"family":"Sahu","given":"L. K."},{"family":"Sudheer","given":"K. P."},{"family":"Gunthe","given":"S. S."}],"editor":[{"family":"Borkovich","given":"Katherine A."}],"issued":{"date-parts":[["2017",1,10]]}}}],"schema":"https://github.com/citation-style-language/schema/raw/master/csl-citation.json"} </w:instrText>
      </w:r>
      <w:r w:rsidRPr="00781948">
        <w:rPr>
          <w:sz w:val="22"/>
          <w:szCs w:val="22"/>
          <w:lang w:val="id-ID"/>
        </w:rPr>
        <w:fldChar w:fldCharType="separate"/>
      </w:r>
      <w:r w:rsidR="00B51C4F" w:rsidRPr="00781948">
        <w:rPr>
          <w:sz w:val="22"/>
          <w:lang w:val="id-ID"/>
        </w:rPr>
        <w:t>Priyamvada et al., (2017)</w:t>
      </w:r>
      <w:r w:rsidRPr="00781948">
        <w:rPr>
          <w:sz w:val="22"/>
          <w:szCs w:val="22"/>
          <w:lang w:val="id-ID"/>
        </w:rPr>
        <w:fldChar w:fldCharType="end"/>
      </w:r>
      <w:r w:rsidRPr="00781948">
        <w:rPr>
          <w:sz w:val="22"/>
          <w:szCs w:val="22"/>
          <w:lang w:val="id-ID"/>
        </w:rPr>
        <w:t xml:space="preserve"> and </w:t>
      </w:r>
      <w:r w:rsidRPr="00781948">
        <w:rPr>
          <w:sz w:val="22"/>
          <w:szCs w:val="22"/>
          <w:lang w:val="id-ID"/>
        </w:rPr>
        <w:fldChar w:fldCharType="begin"/>
      </w:r>
      <w:r w:rsidR="00B51C4F" w:rsidRPr="00781948">
        <w:rPr>
          <w:sz w:val="22"/>
          <w:szCs w:val="22"/>
          <w:lang w:val="id-ID"/>
        </w:rPr>
        <w:instrText xml:space="preserve"> ADDIN ZOTERO_ITEM CSL_CITATION {"citationID":"IZvtzu18","properties":{"custom":"Li et al., (2018)","formattedCitation":"Li et al., (2018)","plainCitation":"Li et al., (2018)","noteIndex":0},"citationItems":[{"id":"n67l8Wxv/SA6Kz7vn","uris":["http://zotero.org/users/local/aclxgGd8/items/BBT9Z4DN"],"itemData":{"id":168,"type":"article-journal","container-title":"Acta Oecologica","DOI":"10.1016/j.actao.2018.05.008","ISSN":"1146609X","journalAbbreviation":"Acta Oecologica","language":"en","page":"7-15","source":"DOI.org (Crossref)","title":"Fruiting patterns of macrofungi in tropical and temperate land use types in Yunnan Province, China","volume":"91","author":[{"family":"Li","given":"Huili"},{"family":"Guo","given":"Jiayu"},{"family":"Goldberg","given":"Stefanie D."},{"family":"Sreekar","given":"Rachakonda"},{"family":"Ye","given":"Lei"},{"family":"Luo","given":"Xia"},{"family":"Sysouphanthong","given":"Phongeun"},{"family":"Xu","given":"Jianchu"},{"family":"Hyde","given":"Kevin D."},{"family":"Mortimer","given":"Peter E."}],"issued":{"date-parts":[["2018",8]]}}}],"schema":"https://github.com/citation-style-language/schema/raw/master/csl-citation.json"} </w:instrText>
      </w:r>
      <w:r w:rsidRPr="00781948">
        <w:rPr>
          <w:sz w:val="22"/>
          <w:szCs w:val="22"/>
          <w:lang w:val="id-ID"/>
        </w:rPr>
        <w:fldChar w:fldCharType="separate"/>
      </w:r>
      <w:r w:rsidR="00B51C4F" w:rsidRPr="00781948">
        <w:rPr>
          <w:sz w:val="22"/>
          <w:lang w:val="id-ID"/>
        </w:rPr>
        <w:t>Li et al., (2018)</w:t>
      </w:r>
      <w:r w:rsidRPr="00781948">
        <w:rPr>
          <w:sz w:val="22"/>
          <w:szCs w:val="22"/>
          <w:lang w:val="id-ID"/>
        </w:rPr>
        <w:fldChar w:fldCharType="end"/>
      </w:r>
      <w:r w:rsidRPr="00781948">
        <w:rPr>
          <w:sz w:val="22"/>
          <w:szCs w:val="22"/>
          <w:lang w:val="id-ID"/>
        </w:rPr>
        <w:t xml:space="preserve">, larger numbers of macrofungal species can thrive under optimal environmental conditions regarding season, temperature, and rainfall. The diversity index might reflect even higher values if the study were conducted under ideal environmental condition for the growth of macrofungi, emphasizing the need for survey at various times and seasons throughout the year </w:t>
      </w:r>
      <w:r w:rsidRPr="00781948">
        <w:rPr>
          <w:sz w:val="22"/>
          <w:szCs w:val="22"/>
          <w:lang w:val="id-ID"/>
        </w:rPr>
        <w:fldChar w:fldCharType="begin"/>
      </w:r>
      <w:r w:rsidR="00B51C4F" w:rsidRPr="00781948">
        <w:rPr>
          <w:sz w:val="22"/>
          <w:szCs w:val="22"/>
          <w:lang w:val="id-ID"/>
        </w:rPr>
        <w:instrText xml:space="preserve"> ADDIN ZOTERO_ITEM CSL_CITATION {"citationID":"gWCD8SZw","properties":{"formattedCitation":"(Yusran dkk., 2020)","plainCitation":"(Yusran dkk., 2020)","dontUpdate":true,"noteIndex":0},"citationItems":[{"id":"n67l8Wxv/3hAVYzyf","uris":["http://zotero.org/users/local/aclxgGd8/items/DX2B9Y2W"],"itemData":{"id":28,"type":"article-journal","abstract":"Abstract. Yusran Y, Erniwati E, Wahyuni D, Ramadhanil R, Khumaidi A. 2021. Diversity of macro fungus across three altitudinal ranges in Lore Lindu National Park, Central Sulawesi, Indonesia and their utilization by local residents. Biodiversitas 22: 199-210. A large amount of biodiversity research has been carried out in Lore Lindu National Park, a major biodiversity center in Central Sulawesi, Indonesia, but none have investigated the biodiversity of macrofungi and their traditional utilization. Therefore, this study aimed to explore the diversity of macro fungus in Lore Lindu National Park, and to identify their potential uses as food sources and medicinal uses by the local residents living around Lore Lindu National Park. Exploration of macrofungus species in Lore Lindu National Park was done at three locations representing three altitudinal ranges: (i) &lt;500 m above sea level (asl); (ii) 500–1500 m asl; and &gt;1500 m asl. Ten plots were placed in two major lines with a 100 m distance between plots in each sampling location. All macrofungi within the observation plots were then documented and identified. Ethnomycological studies were done by asking questionnaire to selective respondents, group discussion, and pictorial presentation studies to random respondents in five villages located in the buffer zone of the national park area. This study found 172 species (including unidentified species/sp.) from 33 families of macro fungus in Lore Lindu National Park in which 159 of them belong to the Basidiomycota division, while 13 of them were of the Ascomycota division. Our results also showed varying diversity of macrofungus at different altitudes. At the elevation of &lt;500 m asl, as many 77 species were found, while 117 and 142 species were found at the elevation of 500-1500 and &gt;1500 m asl, respectively. Marasmius spp and Hygrocybe spp were the most abundant genera, and nine species (i.e. Schizophyllum commune, Termytomyces sp, Auricularia auricular-judge, Auricularia sp., Pleurotus ostreatus, Ganoderma lucidum, Xylaria sp., Agaricus sp. dan Lentinus sajor-caju) were utilized as a food source and in traditional medicine by the residents around the national park area.","container-title":"Biodiversitas Journal of Biological Diversity","DOI":"10.13057/biodiv/d220126","ISSN":"2085-4722, 1412-033X","issue":"1","journalAbbreviation":"Biodiversitas","note":"number: 1","source":"DOI.org (Crossref)","title":"Diversity of macro fungus across three altitudinal ranges in Lore Lindu National Park, Central Sulawesi, Indonesia and their utilization by local residents","URL":"https://smujo.id/biodiv/article/view/6899","volume":"22","author":[{"family":"Yusran","given":"Yusran"},{"family":"Erniwati","given":"Erniwati"},{"family":"Wahyuni","given":"Dewi"},{"family":"Ramadhanil","given":"Ramadhanil"},{"family":"Khumaidi","given":"Akhmad"}],"accessed":{"date-parts":[["2024",4,17]]},"issued":{"date-parts":[["2020",12,24]]}}}],"schema":"https://github.com/citation-style-language/schema/raw/master/csl-citation.json"} </w:instrText>
      </w:r>
      <w:r w:rsidRPr="00781948">
        <w:rPr>
          <w:sz w:val="22"/>
          <w:szCs w:val="22"/>
          <w:lang w:val="id-ID"/>
        </w:rPr>
        <w:fldChar w:fldCharType="separate"/>
      </w:r>
      <w:r w:rsidRPr="00781948">
        <w:rPr>
          <w:sz w:val="22"/>
          <w:szCs w:val="22"/>
          <w:lang w:val="id-ID"/>
        </w:rPr>
        <w:t>(Yusran et al., 2020)</w:t>
      </w:r>
      <w:r w:rsidRPr="00781948">
        <w:rPr>
          <w:sz w:val="22"/>
          <w:szCs w:val="22"/>
          <w:lang w:val="id-ID"/>
        </w:rPr>
        <w:fldChar w:fldCharType="end"/>
      </w:r>
      <w:r w:rsidRPr="00781948">
        <w:rPr>
          <w:sz w:val="22"/>
          <w:szCs w:val="22"/>
          <w:lang w:val="id-ID"/>
        </w:rPr>
        <w:t>.</w:t>
      </w:r>
    </w:p>
    <w:p w14:paraId="608262F7" w14:textId="77777777" w:rsidR="00C666AF" w:rsidRDefault="00C666AF">
      <w:pPr>
        <w:jc w:val="both"/>
        <w:rPr>
          <w:b/>
          <w:bCs/>
          <w:sz w:val="22"/>
          <w:szCs w:val="22"/>
          <w:lang w:val="id-ID"/>
        </w:rPr>
      </w:pPr>
    </w:p>
    <w:p w14:paraId="1400125B" w14:textId="77777777" w:rsidR="006D62C7" w:rsidRPr="00781948" w:rsidRDefault="006D62C7">
      <w:pPr>
        <w:jc w:val="both"/>
        <w:rPr>
          <w:b/>
          <w:bCs/>
          <w:sz w:val="22"/>
          <w:szCs w:val="22"/>
          <w:lang w:val="id-ID"/>
        </w:rPr>
      </w:pPr>
    </w:p>
    <w:p w14:paraId="051B99AA" w14:textId="77777777" w:rsidR="00C666AF" w:rsidRPr="00781948" w:rsidRDefault="00000000">
      <w:pPr>
        <w:jc w:val="both"/>
        <w:rPr>
          <w:b/>
          <w:bCs/>
          <w:sz w:val="22"/>
          <w:szCs w:val="22"/>
          <w:lang w:val="id-ID"/>
        </w:rPr>
      </w:pPr>
      <w:r w:rsidRPr="00781948">
        <w:rPr>
          <w:b/>
          <w:bCs/>
          <w:sz w:val="22"/>
          <w:szCs w:val="22"/>
          <w:lang w:val="id-ID"/>
        </w:rPr>
        <w:lastRenderedPageBreak/>
        <w:t>The Macrofungi Potential from TWA Gunung Tunak</w:t>
      </w:r>
    </w:p>
    <w:p w14:paraId="2EC06CC2" w14:textId="18CE2ABF" w:rsidR="00C666AF" w:rsidRPr="00781948" w:rsidRDefault="00000000" w:rsidP="00AF5AE6">
      <w:pPr>
        <w:widowControl w:val="0"/>
        <w:ind w:firstLine="540"/>
        <w:jc w:val="both"/>
        <w:rPr>
          <w:rFonts w:eastAsia="Calibri"/>
          <w:sz w:val="22"/>
          <w:szCs w:val="22"/>
          <w:lang w:val="id-ID"/>
        </w:rPr>
      </w:pPr>
      <w:r w:rsidRPr="00781948">
        <w:rPr>
          <w:sz w:val="22"/>
          <w:szCs w:val="22"/>
          <w:lang w:val="id-ID"/>
        </w:rPr>
        <w:t xml:space="preserve">The study of the macrofungi has revealed that many species have potential use as food and medicine. For instance, </w:t>
      </w:r>
      <w:r w:rsidRPr="00781948">
        <w:rPr>
          <w:i/>
          <w:iCs/>
          <w:sz w:val="22"/>
          <w:szCs w:val="22"/>
          <w:lang w:val="id-ID"/>
        </w:rPr>
        <w:t>Hexagonia</w:t>
      </w:r>
      <w:r w:rsidRPr="00781948">
        <w:rPr>
          <w:sz w:val="22"/>
          <w:szCs w:val="22"/>
          <w:lang w:val="id-ID"/>
        </w:rPr>
        <w:t xml:space="preserve"> species such as </w:t>
      </w:r>
      <w:r w:rsidRPr="00781948">
        <w:rPr>
          <w:i/>
          <w:iCs/>
          <w:sz w:val="22"/>
          <w:szCs w:val="22"/>
          <w:lang w:val="id-ID"/>
        </w:rPr>
        <w:t>H. glabra</w:t>
      </w:r>
      <w:r w:rsidRPr="00781948">
        <w:rPr>
          <w:sz w:val="22"/>
          <w:szCs w:val="22"/>
          <w:lang w:val="id-ID"/>
        </w:rPr>
        <w:t xml:space="preserve"> can be valuable source of anticancer agents </w:t>
      </w:r>
      <w:r w:rsidRPr="00781948">
        <w:rPr>
          <w:sz w:val="22"/>
          <w:szCs w:val="22"/>
          <w:lang w:val="id-ID"/>
        </w:rPr>
        <w:fldChar w:fldCharType="begin"/>
      </w:r>
      <w:r w:rsidR="00B51C4F" w:rsidRPr="00781948">
        <w:rPr>
          <w:sz w:val="22"/>
          <w:szCs w:val="22"/>
          <w:lang w:val="id-ID"/>
        </w:rPr>
        <w:instrText xml:space="preserve"> ADDIN ZOTERO_ITEM CSL_CITATION {"citationID":"R5GWSiUO","properties":{"formattedCitation":"(Ghosh dkk., 2020)","plainCitation":"(Ghosh dkk., 2020)","dontUpdate":true,"noteIndex":0},"citationItems":[{"id":"n67l8Wxv/fl1tzP8I","uris":["http://zotero.org/users/local/aclxgGd8/items/DUQMA77V"],"itemData":{"id":171,"type":"article-journal","container-title":"Asian Pacific Journal of Cancer Prevention","DOI":"10.31557/APJCP.2020.21.7.1977","ISSN":"2476-762X","issue":"7","journalAbbreviation":"Asian Pac J Cancer Prev","language":"en","page":"1977-1986","source":"DOI.org (Crossref)","title":"Anticancer Activity of Solvent Extracts of Hexogonia glabra against Cervical Cancer Cell Lines","volume":"21","author":[{"family":"Ghosh","given":"Swapan Kumar"},{"family":"Sanyal","given":"Tapojyoti"},{"family":"Bera","given":"Tanmay"}],"issued":{"date-parts":[["2020",7,1]]}}}],"schema":"https://github.com/citation-style-language/schema/raw/master/csl-citation.json"} </w:instrText>
      </w:r>
      <w:r w:rsidRPr="00781948">
        <w:rPr>
          <w:sz w:val="22"/>
          <w:szCs w:val="22"/>
          <w:lang w:val="id-ID"/>
        </w:rPr>
        <w:fldChar w:fldCharType="separate"/>
      </w:r>
      <w:r w:rsidRPr="00781948">
        <w:rPr>
          <w:sz w:val="22"/>
          <w:szCs w:val="22"/>
          <w:lang w:val="id-ID"/>
        </w:rPr>
        <w:t>(Ghosh et al., 2020)</w:t>
      </w:r>
      <w:r w:rsidRPr="00781948">
        <w:rPr>
          <w:sz w:val="22"/>
          <w:szCs w:val="22"/>
          <w:lang w:val="id-ID"/>
        </w:rPr>
        <w:fldChar w:fldCharType="end"/>
      </w:r>
      <w:r w:rsidRPr="00781948">
        <w:rPr>
          <w:sz w:val="22"/>
          <w:szCs w:val="22"/>
          <w:lang w:val="id-ID"/>
        </w:rPr>
        <w:t>. A study into traditional medicine within Northeastern Brazilian communities indicates that</w:t>
      </w:r>
      <w:r w:rsidRPr="00781948">
        <w:rPr>
          <w:i/>
          <w:iCs/>
          <w:sz w:val="22"/>
          <w:szCs w:val="22"/>
          <w:lang w:val="id-ID"/>
        </w:rPr>
        <w:t xml:space="preserve"> H. hydnoides</w:t>
      </w:r>
      <w:r w:rsidRPr="00781948">
        <w:rPr>
          <w:sz w:val="22"/>
          <w:szCs w:val="22"/>
          <w:lang w:val="id-ID"/>
        </w:rPr>
        <w:t xml:space="preserve"> is used as a remedy for digestive system, with further analysis demonstrating its antibacterial properties against </w:t>
      </w:r>
      <w:r w:rsidRPr="00781948">
        <w:rPr>
          <w:i/>
          <w:iCs/>
          <w:sz w:val="22"/>
          <w:szCs w:val="22"/>
          <w:lang w:val="id-ID"/>
        </w:rPr>
        <w:t>Bacillus</w:t>
      </w:r>
      <w:r w:rsidRPr="00781948">
        <w:rPr>
          <w:sz w:val="22"/>
          <w:szCs w:val="22"/>
          <w:lang w:val="id-ID"/>
        </w:rPr>
        <w:t xml:space="preserve"> </w:t>
      </w:r>
      <w:r w:rsidRPr="00781948">
        <w:rPr>
          <w:i/>
          <w:iCs/>
          <w:sz w:val="22"/>
          <w:szCs w:val="22"/>
          <w:lang w:val="id-ID"/>
        </w:rPr>
        <w:t>cereus</w:t>
      </w:r>
      <w:r w:rsidRPr="00781948">
        <w:rPr>
          <w:sz w:val="22"/>
          <w:szCs w:val="22"/>
          <w:lang w:val="id-ID"/>
        </w:rPr>
        <w:t xml:space="preserve"> </w:t>
      </w:r>
      <w:r w:rsidRPr="00781948">
        <w:rPr>
          <w:sz w:val="22"/>
          <w:szCs w:val="22"/>
          <w:lang w:val="id-ID"/>
        </w:rPr>
        <w:fldChar w:fldCharType="begin"/>
      </w:r>
      <w:r w:rsidR="00B51C4F" w:rsidRPr="00781948">
        <w:rPr>
          <w:sz w:val="22"/>
          <w:szCs w:val="22"/>
          <w:lang w:val="id-ID"/>
        </w:rPr>
        <w:instrText xml:space="preserve"> ADDIN ZOTERO_ITEM CSL_CITATION {"citationID":"UvxsbFDk","properties":{"formattedCitation":"(Rosa dkk., 2003)","plainCitation":"(Rosa dkk., 2003)","dontUpdate":true,"noteIndex":0},"citationItems":[{"id":"n67l8Wxv/vHmDzp5Y","uris":["http://zotero.org/users/local/aclxgGd8/items/UVS6JMH4"],"itemData":{"id":174,"type":"article-journal","container-title":"Memórias do Instituto Oswaldo Cruz","DOI":"10.1590/S0074-02762003000700019","ISSN":"0074-0276","issue":"7","journalAbbreviation":"Mem. Inst. Oswaldo Cruz","page":"967-974","source":"DOI.org (Crossref)","title":"Screening of Brazilian basidiomycetes for antimicrobial activity","volume":"98","author":[{"family":"Rosa","given":"Luiz Henrique"},{"family":"Machado","given":"Kátia M Gomes"},{"family":"Jacob","given":"Camila Cristina"},{"family":"Capelari","given":"Marina"},{"family":"Rosa","given":"Carlos Augusto"},{"family":"Zani","given":"Carlos Leomar"}],"issued":{"date-parts":[["2003",10]]}}}],"schema":"https://github.com/citation-style-language/schema/raw/master/csl-citation.json"} </w:instrText>
      </w:r>
      <w:r w:rsidRPr="00781948">
        <w:rPr>
          <w:sz w:val="22"/>
          <w:szCs w:val="22"/>
          <w:lang w:val="id-ID"/>
        </w:rPr>
        <w:fldChar w:fldCharType="separate"/>
      </w:r>
      <w:r w:rsidRPr="00781948">
        <w:rPr>
          <w:sz w:val="22"/>
          <w:szCs w:val="22"/>
          <w:lang w:val="id-ID"/>
        </w:rPr>
        <w:t>(Rosa et al., 2003)</w:t>
      </w:r>
      <w:r w:rsidRPr="00781948">
        <w:rPr>
          <w:sz w:val="22"/>
          <w:szCs w:val="22"/>
          <w:lang w:val="id-ID"/>
        </w:rPr>
        <w:fldChar w:fldCharType="end"/>
      </w:r>
      <w:r w:rsidRPr="00781948">
        <w:rPr>
          <w:sz w:val="22"/>
          <w:szCs w:val="22"/>
          <w:lang w:val="id-ID"/>
        </w:rPr>
        <w:t xml:space="preserve">. The genus </w:t>
      </w:r>
      <w:r w:rsidRPr="00781948">
        <w:rPr>
          <w:i/>
          <w:iCs/>
          <w:sz w:val="22"/>
          <w:szCs w:val="22"/>
          <w:lang w:val="id-ID"/>
        </w:rPr>
        <w:t>Trametes</w:t>
      </w:r>
      <w:r w:rsidRPr="00781948">
        <w:rPr>
          <w:sz w:val="22"/>
          <w:szCs w:val="22"/>
          <w:lang w:val="id-ID"/>
        </w:rPr>
        <w:t xml:space="preserve"> is known for its medicinal properties. Notably, </w:t>
      </w:r>
      <w:r w:rsidRPr="00781948">
        <w:rPr>
          <w:i/>
          <w:iCs/>
          <w:sz w:val="22"/>
          <w:szCs w:val="22"/>
          <w:lang w:val="id-ID"/>
        </w:rPr>
        <w:t>T.</w:t>
      </w:r>
      <w:r w:rsidRPr="00781948">
        <w:rPr>
          <w:sz w:val="22"/>
          <w:szCs w:val="22"/>
          <w:lang w:val="id-ID"/>
        </w:rPr>
        <w:t xml:space="preserve"> </w:t>
      </w:r>
      <w:r w:rsidRPr="00781948">
        <w:rPr>
          <w:i/>
          <w:iCs/>
          <w:sz w:val="22"/>
          <w:szCs w:val="22"/>
          <w:lang w:val="id-ID"/>
        </w:rPr>
        <w:t>versicolor</w:t>
      </w:r>
      <w:r w:rsidRPr="00781948">
        <w:rPr>
          <w:sz w:val="22"/>
          <w:szCs w:val="22"/>
          <w:lang w:val="id-ID"/>
        </w:rPr>
        <w:t xml:space="preserve"> has been employed for its anti-inflammatory, antibacterial, antioxidant and anticancer </w:t>
      </w:r>
      <w:r w:rsidRPr="00781948">
        <w:rPr>
          <w:sz w:val="22"/>
          <w:szCs w:val="22"/>
          <w:lang w:val="id-ID"/>
        </w:rPr>
        <w:fldChar w:fldCharType="begin"/>
      </w:r>
      <w:r w:rsidR="00B51C4F" w:rsidRPr="00781948">
        <w:rPr>
          <w:sz w:val="22"/>
          <w:szCs w:val="22"/>
          <w:lang w:val="id-ID"/>
        </w:rPr>
        <w:instrText xml:space="preserve"> ADDIN ZOTERO_ITEM CSL_CITATION {"citationID":"0V2nL9xH","properties":{"unsorted":true,"formattedCitation":"(Lodi dkk., 2025; Ajibola dkk., 2024)","plainCitation":"(Lodi dkk., 2025; Ajibola dkk., 2024)","dontUpdate":true,"noteIndex":0},"citationItems":[{"id":"n67l8Wxv/xEuNYFxa","uris":["http://zotero.org/users/local/aclxgGd8/items/Q4B8CFIE"],"itemData":{"id":177,"type":"article-journal","container-title":"Fungal Biology Reviews","DOI":"10.1016/j.fbr.2025.100413","ISSN":"17494613","journalAbbreviation":"Fungal Biology Reviews","language":"en","page":"100413","source":"DOI.org (Crossref)","title":"Current research on the medical importance of Trametes species","volume":"51","author":[{"family":"Lodi","given":"Rathna Silviya"},{"family":"Dong","given":"Xiaodan"},{"family":"Wang","given":"Xinkun"},{"family":"Han","given":"Yaping"},{"family":"Liang","given":"Xiaohui"},{"family":"Peng","given":"Chune"},{"family":"Peng","given":"Lizeng"}],"issued":{"date-parts":[["2025",3]]}}},{"id":"n67l8Wxv/D0dv50va","uris":["http://zotero.org/users/local/aclxgGd8/items/SS455BIU"],"itemData":{"id":176,"type":"article-journal","container-title":"Current Opinion in Food Science","DOI":"10.1016/j.cofs.2024.101191","ISSN":"22147993","journalAbbreviation":"Current Opinion in Food Science","language":"en","page":"101191","source":"DOI.org (Crossref)","title":"Turkey tail mushroom (Trametes versicolor): an edible macrofungi with immense medicinal properties","title-short":"Turkey tail mushroom (Trametes versicolor)","volume":"58","author":[{"family":"Ajibola","given":"Olaide Olawunmi"},{"family":"Nolasco-Hipolito","given":"Cirilo"},{"family":"Carvajal-Zarrabal","given":"Octavio"},{"family":"Salleh","given":"Shanti F"},{"family":"Adeyinka","given":"Gbadebo C"},{"family":"Adefegha","given":"Stephen A"},{"family":"Ahmmed","given":"Mirja K"},{"family":"Sumaiya","given":"Kazi"},{"family":"Thomas","given":"Raymond"}],"issued":{"date-parts":[["2024",8]]}}}],"schema":"https://github.com/citation-style-language/schema/raw/master/csl-citation.json"} </w:instrText>
      </w:r>
      <w:r w:rsidRPr="00781948">
        <w:rPr>
          <w:sz w:val="22"/>
          <w:szCs w:val="22"/>
          <w:lang w:val="id-ID"/>
        </w:rPr>
        <w:fldChar w:fldCharType="separate"/>
      </w:r>
      <w:r w:rsidRPr="00781948">
        <w:rPr>
          <w:sz w:val="22"/>
          <w:szCs w:val="22"/>
          <w:lang w:val="id-ID"/>
        </w:rPr>
        <w:t>(Lodi et al., 2025; Ajibola et al., 2024)</w:t>
      </w:r>
      <w:r w:rsidRPr="00781948">
        <w:rPr>
          <w:sz w:val="22"/>
          <w:szCs w:val="22"/>
          <w:lang w:val="id-ID"/>
        </w:rPr>
        <w:fldChar w:fldCharType="end"/>
      </w:r>
      <w:r w:rsidRPr="00781948">
        <w:rPr>
          <w:sz w:val="22"/>
          <w:szCs w:val="22"/>
          <w:lang w:val="id-ID"/>
        </w:rPr>
        <w:t xml:space="preserve">. </w:t>
      </w:r>
      <w:r w:rsidRPr="00781948">
        <w:rPr>
          <w:i/>
          <w:iCs/>
          <w:sz w:val="22"/>
          <w:szCs w:val="22"/>
          <w:lang w:val="id-ID"/>
        </w:rPr>
        <w:t>Microporus</w:t>
      </w:r>
      <w:r w:rsidRPr="00781948">
        <w:rPr>
          <w:sz w:val="22"/>
          <w:szCs w:val="22"/>
          <w:lang w:val="id-ID"/>
        </w:rPr>
        <w:t xml:space="preserve"> species contain antimicrobial compound against gram positive bacteria and inhibit the biofilm formation of Staphylococcus aureus </w:t>
      </w:r>
      <w:r w:rsidRPr="00781948">
        <w:rPr>
          <w:sz w:val="22"/>
          <w:szCs w:val="22"/>
          <w:lang w:val="id-ID"/>
        </w:rPr>
        <w:fldChar w:fldCharType="begin"/>
      </w:r>
      <w:r w:rsidR="00B51C4F" w:rsidRPr="00781948">
        <w:rPr>
          <w:sz w:val="22"/>
          <w:szCs w:val="22"/>
          <w:lang w:val="id-ID"/>
        </w:rPr>
        <w:instrText xml:space="preserve"> ADDIN ZOTERO_ITEM CSL_CITATION {"citationID":"RRHglYQ9","properties":{"formattedCitation":"(Chepkirui dkk., 2018)","plainCitation":"(Chepkirui dkk., 2018)","dontUpdate":true,"noteIndex":0},"citationItems":[{"id":"n67l8Wxv/tol78hxC","uris":["http://zotero.org/users/local/aclxgGd8/items/KJS4RF8F"],"itemData":{"id":178,"type":"article-journal","container-title":"Journal of Natural Products","DOI":"10.1021/acs.jnatprod.7b00764","ISSN":"0163-3864, 1520-6025","issue":"4","journalAbbreviation":"J. Nat. Prod.","language":"en","page":"778-784","source":"DOI.org (Crossref)","title":"Microporenic Acids A–G, Biofilm Inhibitors, and Antimicrobial Agents from the Basidiomycete &lt;i&gt;Microporus&lt;/i&gt; Species","volume":"81","author":[{"family":"Chepkirui","given":"Clara"},{"family":"Yuyama","given":"Kamila T."},{"family":"Wanga","given":"Lucy A."},{"family":"Decock","given":"Cony"},{"family":"Matasyoh","given":"Josphat C."},{"family":"Abraham","given":"Wolf-Rainer"},{"family":"Stadler","given":"Marc"}],"issued":{"date-parts":[["2018",4,27]]}}}],"schema":"https://github.com/citation-style-language/schema/raw/master/csl-citation.json"} </w:instrText>
      </w:r>
      <w:r w:rsidRPr="00781948">
        <w:rPr>
          <w:sz w:val="22"/>
          <w:szCs w:val="22"/>
          <w:lang w:val="id-ID"/>
        </w:rPr>
        <w:fldChar w:fldCharType="separate"/>
      </w:r>
      <w:r w:rsidRPr="00781948">
        <w:rPr>
          <w:sz w:val="22"/>
          <w:szCs w:val="22"/>
          <w:lang w:val="id-ID"/>
        </w:rPr>
        <w:t>(Chepkirui et al., 2018)</w:t>
      </w:r>
      <w:r w:rsidRPr="00781948">
        <w:rPr>
          <w:sz w:val="22"/>
          <w:szCs w:val="22"/>
          <w:lang w:val="id-ID"/>
        </w:rPr>
        <w:fldChar w:fldCharType="end"/>
      </w:r>
      <w:r w:rsidRPr="00781948">
        <w:rPr>
          <w:sz w:val="22"/>
          <w:szCs w:val="22"/>
          <w:lang w:val="id-ID"/>
        </w:rPr>
        <w:t xml:space="preserve">. The fruit bodies of </w:t>
      </w:r>
      <w:r w:rsidRPr="00781948">
        <w:rPr>
          <w:i/>
          <w:iCs/>
          <w:sz w:val="22"/>
          <w:szCs w:val="22"/>
          <w:lang w:val="id-ID"/>
        </w:rPr>
        <w:t>Daedaleopsis</w:t>
      </w:r>
      <w:r w:rsidRPr="00781948">
        <w:rPr>
          <w:sz w:val="22"/>
          <w:szCs w:val="22"/>
          <w:lang w:val="id-ID"/>
        </w:rPr>
        <w:t xml:space="preserve"> are utilized in the production of ornamental paper </w:t>
      </w:r>
      <w:r w:rsidRPr="00781948">
        <w:rPr>
          <w:sz w:val="22"/>
          <w:szCs w:val="22"/>
          <w:lang w:val="id-ID"/>
        </w:rPr>
        <w:fldChar w:fldCharType="begin"/>
      </w:r>
      <w:r w:rsidR="00B51C4F" w:rsidRPr="00781948">
        <w:rPr>
          <w:sz w:val="22"/>
          <w:szCs w:val="22"/>
          <w:lang w:val="id-ID"/>
        </w:rPr>
        <w:instrText xml:space="preserve"> ADDIN ZOTERO_ITEM CSL_CITATION {"citationID":"X4NWvslz","properties":{"formattedCitation":"(Roberts &amp; Evans, 2011)","plainCitation":"(Roberts &amp; Evans, 2011)","noteIndex":0},"citationItems":[{"id":"n67l8Wxv/BoZYYrZE","uris":["http://zotero.org/users/local/aclxgGd8/items/3BVMM3EB"],"itemData":{"id":179,"type":"book","call-number":"QK603 .R57 2011","event-place":"Chicago ; London","ISBN":"978-0-226-72117-0","number-of-pages":"655","publisher":"The University of Chicago Press","publisher-place":"Chicago ; London","source":"Library of Congress ISBN","title":"The book of fungi: a life-size guide to six hundred species from around the world","title-short":"The book of fungi","author":[{"family":"Roberts","given":"Peter"},{"family":"Evans","given":"Shelley"}],"issued":{"date-parts":[["2011"]]}}}],"schema":"https://github.com/citation-style-language/schema/raw/master/csl-citation.json"} </w:instrText>
      </w:r>
      <w:r w:rsidRPr="00781948">
        <w:rPr>
          <w:sz w:val="22"/>
          <w:szCs w:val="22"/>
          <w:lang w:val="id-ID"/>
        </w:rPr>
        <w:fldChar w:fldCharType="separate"/>
      </w:r>
      <w:r w:rsidR="00B51C4F" w:rsidRPr="00781948">
        <w:rPr>
          <w:sz w:val="22"/>
          <w:lang w:val="id-ID"/>
        </w:rPr>
        <w:t>(Roberts &amp; Evans, 2011)</w:t>
      </w:r>
      <w:r w:rsidRPr="00781948">
        <w:rPr>
          <w:sz w:val="22"/>
          <w:szCs w:val="22"/>
          <w:lang w:val="id-ID"/>
        </w:rPr>
        <w:fldChar w:fldCharType="end"/>
      </w:r>
      <w:r w:rsidRPr="00781948">
        <w:rPr>
          <w:sz w:val="22"/>
          <w:szCs w:val="22"/>
          <w:lang w:val="id-ID"/>
        </w:rPr>
        <w:t xml:space="preserve">. </w:t>
      </w:r>
      <w:r w:rsidRPr="00781948">
        <w:rPr>
          <w:i/>
          <w:iCs/>
          <w:sz w:val="22"/>
          <w:szCs w:val="22"/>
          <w:lang w:val="id-ID"/>
        </w:rPr>
        <w:t>Irpex</w:t>
      </w:r>
      <w:r w:rsidRPr="00781948">
        <w:rPr>
          <w:sz w:val="22"/>
          <w:szCs w:val="22"/>
          <w:lang w:val="id-ID"/>
        </w:rPr>
        <w:t xml:space="preserve"> </w:t>
      </w:r>
      <w:r w:rsidRPr="00781948">
        <w:rPr>
          <w:i/>
          <w:iCs/>
          <w:sz w:val="22"/>
          <w:szCs w:val="22"/>
          <w:lang w:val="id-ID"/>
        </w:rPr>
        <w:t>lacteus</w:t>
      </w:r>
      <w:r w:rsidRPr="00781948">
        <w:rPr>
          <w:sz w:val="22"/>
          <w:szCs w:val="22"/>
          <w:lang w:val="id-ID"/>
        </w:rPr>
        <w:t xml:space="preserve"> shows potential as a medicine agent, demonstrating diuretic, antiinflammatory, and antimicrobial properties </w:t>
      </w:r>
      <w:r w:rsidRPr="00781948">
        <w:rPr>
          <w:sz w:val="22"/>
          <w:szCs w:val="22"/>
          <w:lang w:val="id-ID"/>
        </w:rPr>
        <w:fldChar w:fldCharType="begin"/>
      </w:r>
      <w:r w:rsidR="00B51C4F" w:rsidRPr="00781948">
        <w:rPr>
          <w:sz w:val="22"/>
          <w:szCs w:val="22"/>
          <w:lang w:val="id-ID"/>
        </w:rPr>
        <w:instrText xml:space="preserve"> ADDIN ZOTERO_ITEM CSL_CITATION {"citationID":"cQd6E302","properties":{"custom":"(Chen dkk., 2020)","formattedCitation":"(Chen dkk., 2020)","plainCitation":"(Chen dkk., 2020)","dontUpdate":true,"noteIndex":0},"citationItems":[{"id":"n67l8Wxv/pR4Hk9GH","uris":["http://zotero.org/users/local/aclxgGd8/items/JKUDYG6W"],"itemData":{"id":181,"type":"article-journal","abstract":"Abstract\n            \n              A new irlactane-type, namely irlactin K (\n              1\n              ), and 22 tremulane-type sesquiterpenes including fourteen previously undescribed ones, namely irpexolactins A–N (\n              2\n              –\n              15\n              ), and a known irlactane-type sesquiterpenoid, were isolated from the fermentation broth of the medicinal fungus\n              Irpex lacteus\n              HFG1102. The structures of all the isolates were characterized by extensive spectroscopic methods, including 1D and 2D NMR and MS spectroscopic analysis. The absolute configurations of irlactin K and the known compound conocenol B (\n              20\n              ) were established by single-crystal X-ray diffraction analysis. The vasorelaxant effects of irlactin K (\n              1\n              ), irpexolactins A (\n              2\n              ), C (\n              4\n              ), K (\n              12\n              ), and irlactam (\n              22\n              ) were evaluated.\n            \n            \n              Graphic Abstract","container-title":"Natural Products and Bioprospecting","DOI":"10.1007/s13659-020-00239-z","ISSN":"2192-2195, 2192-2209","issue":"2","journalAbbreviation":"Nat. Prod. Bioprospect.","language":"en","page":"89-100","source":"DOI.org (Crossref)","title":"Irlactane and Tremulane Sesquiterpenes from the Cultures of the Medicinal Fungus Irpex lacteus HFG1102","volume":"10","author":[{"family":"Chen","given":"He-Ping"},{"family":"Ji","given":"Xu"},{"family":"Li","given":"Zheng-Hui"},{"family":"Feng","given":"Tao"},{"family":"Liu","given":"Ji-Kai"}],"issued":{"date-parts":[["2020",4]]}}}],"schema":"https://github.com/citation-style-language/schema/raw/master/csl-citation.json"} </w:instrText>
      </w:r>
      <w:r w:rsidRPr="00781948">
        <w:rPr>
          <w:sz w:val="22"/>
          <w:szCs w:val="22"/>
          <w:lang w:val="id-ID"/>
        </w:rPr>
        <w:fldChar w:fldCharType="separate"/>
      </w:r>
      <w:r w:rsidRPr="00781948">
        <w:rPr>
          <w:sz w:val="22"/>
          <w:szCs w:val="22"/>
          <w:lang w:val="id-ID"/>
        </w:rPr>
        <w:t>(Chen et al., 2020)</w:t>
      </w:r>
      <w:r w:rsidRPr="00781948">
        <w:rPr>
          <w:sz w:val="22"/>
          <w:szCs w:val="22"/>
          <w:lang w:val="id-ID"/>
        </w:rPr>
        <w:fldChar w:fldCharType="end"/>
      </w:r>
      <w:r w:rsidRPr="00781948">
        <w:rPr>
          <w:sz w:val="22"/>
          <w:szCs w:val="22"/>
          <w:lang w:val="id-ID"/>
        </w:rPr>
        <w:t xml:space="preserve">. The fermented mycelia of </w:t>
      </w:r>
      <w:r w:rsidRPr="00781948">
        <w:rPr>
          <w:i/>
          <w:iCs/>
          <w:sz w:val="22"/>
          <w:szCs w:val="22"/>
          <w:lang w:val="id-ID"/>
        </w:rPr>
        <w:t>Phylloporia</w:t>
      </w:r>
      <w:r w:rsidRPr="00781948">
        <w:rPr>
          <w:sz w:val="22"/>
          <w:szCs w:val="22"/>
          <w:lang w:val="id-ID"/>
        </w:rPr>
        <w:t xml:space="preserve"> have been approved as a food supplement </w:t>
      </w:r>
      <w:r w:rsidRPr="00781948">
        <w:rPr>
          <w:sz w:val="22"/>
          <w:szCs w:val="22"/>
          <w:lang w:val="id-ID"/>
        </w:rPr>
        <w:fldChar w:fldCharType="begin"/>
      </w:r>
      <w:r w:rsidR="00B51C4F" w:rsidRPr="00781948">
        <w:rPr>
          <w:sz w:val="22"/>
          <w:szCs w:val="22"/>
          <w:lang w:val="id-ID"/>
        </w:rPr>
        <w:instrText xml:space="preserve"> ADDIN ZOTERO_ITEM CSL_CITATION {"citationID":"KyUBl88J","properties":{"formattedCitation":"(Cheng dkk., 2023)","plainCitation":"(Cheng dkk., 2023)","dontUpdate":true,"noteIndex":0},"citationItems":[{"id":"n67l8Wxv/8W7vTDC1","uris":["http://zotero.org/users/local/aclxgGd8/items/HDVVDAIY"],"itemData":{"id":183,"type":"article-journal","container-title":"Food Reviews International","DOI":"10.1080/87559129.2021.1967382","ISSN":"8755-9129, 1525-6103","issue":"5","journalAbbreviation":"Food Reviews International","language":"en","page":"2776-2789","source":"DOI.org (Crossref)","title":"&lt;i&gt;Phylloporia&lt;/i&gt; (Hymenochaetales, Basidiomycota), a Medicinal Wood-inhabiting Fungal Genus with Much Potential for Commercial Development","volume":"39","author":[{"family":"Cheng","given":"Ye"},{"family":"Zhou","given":"Lin-Jiang"},{"family":"Jiang","given":"Ji-Hang"},{"family":"Tian","given":"Xue-Mei"},{"family":"Zhou","given":"Li-Wei"}],"issued":{"date-parts":[["2023",7,4]]}}}],"schema":"https://github.com/citation-style-language/schema/raw/master/csl-citation.json"} </w:instrText>
      </w:r>
      <w:r w:rsidRPr="00781948">
        <w:rPr>
          <w:sz w:val="22"/>
          <w:szCs w:val="22"/>
          <w:lang w:val="id-ID"/>
        </w:rPr>
        <w:fldChar w:fldCharType="separate"/>
      </w:r>
      <w:r w:rsidRPr="00781948">
        <w:rPr>
          <w:sz w:val="22"/>
          <w:szCs w:val="22"/>
          <w:lang w:val="id-ID"/>
        </w:rPr>
        <w:t>(Cheng et al., 2023)</w:t>
      </w:r>
      <w:r w:rsidRPr="00781948">
        <w:rPr>
          <w:sz w:val="22"/>
          <w:szCs w:val="22"/>
          <w:lang w:val="id-ID"/>
        </w:rPr>
        <w:fldChar w:fldCharType="end"/>
      </w:r>
      <w:r w:rsidRPr="00781948">
        <w:rPr>
          <w:sz w:val="22"/>
          <w:szCs w:val="22"/>
          <w:lang w:val="id-ID"/>
        </w:rPr>
        <w:t xml:space="preserve">. </w:t>
      </w:r>
      <w:r w:rsidRPr="00781948">
        <w:rPr>
          <w:i/>
          <w:iCs/>
          <w:sz w:val="22"/>
          <w:szCs w:val="22"/>
          <w:lang w:val="id-ID"/>
        </w:rPr>
        <w:t>Phellinus</w:t>
      </w:r>
      <w:r w:rsidRPr="00781948">
        <w:rPr>
          <w:sz w:val="22"/>
          <w:szCs w:val="22"/>
          <w:lang w:val="id-ID"/>
        </w:rPr>
        <w:t xml:space="preserve"> </w:t>
      </w:r>
      <w:r w:rsidRPr="00781948">
        <w:rPr>
          <w:i/>
          <w:iCs/>
          <w:sz w:val="22"/>
          <w:szCs w:val="22"/>
          <w:lang w:val="id-ID"/>
        </w:rPr>
        <w:t>linteus</w:t>
      </w:r>
      <w:r w:rsidRPr="00781948">
        <w:rPr>
          <w:sz w:val="22"/>
          <w:szCs w:val="22"/>
          <w:lang w:val="id-ID"/>
        </w:rPr>
        <w:t xml:space="preserve">  are employed in traditional Chinese medicine and is known for a range pharmacological applications, including anticancer, anti-inflammatory, immunomodulatory, antioxidative, and antifungal activities, as well as antidiabetic, hepatoprotective, and neuroprotective effects </w:t>
      </w:r>
      <w:r w:rsidRPr="00781948">
        <w:rPr>
          <w:sz w:val="22"/>
          <w:szCs w:val="22"/>
          <w:lang w:val="id-ID"/>
        </w:rPr>
        <w:fldChar w:fldCharType="begin"/>
      </w:r>
      <w:r w:rsidR="00B51C4F" w:rsidRPr="00781948">
        <w:rPr>
          <w:sz w:val="22"/>
          <w:szCs w:val="22"/>
          <w:lang w:val="id-ID"/>
        </w:rPr>
        <w:instrText xml:space="preserve"> ADDIN ZOTERO_ITEM CSL_CITATION {"citationID":"F94WR95N","properties":{"formattedCitation":"(W. Chen dkk., 2019; Sliva, 2010)","plainCitation":"(W. Chen dkk., 2019; Sliva, 2010)","dontUpdate":true,"noteIndex":0},"citationItems":[{"id":"n67l8Wxv/zbrBEDIC","uris":["http://zotero.org/users/local/aclxgGd8/items/3WWPEIKD"],"itemData":{"id":186,"type":"article-journal","abstract":"Phellinus linteus is a popular medicinal mushroom that is widely used in China, Korea, Japan, and other Asian countries. P. linteus comprises various bioactive components, such as polysaccharides, triterpenoids, phenylpropanoids, and furans, and has proven to be an effective therapeutic agent in traditional Chinese medicine for the treatment and the prevention of various diseases. A number of studies have reported that P. linteus possesses many biological activities useful for pharmacological applications, including anticancer, anti-inflammatory, immunomodulatory, antioxidative, and antifungal activities, as well as antidiabetic, hepatoprotective, and neuroprotective effects. This review article briefly presents the recent progress made in understanding the bioactive components, biological activities, pharmacological applications, safety, and prospects of P. linteus, and provides helpful references and promising directions for further studies of P. linteus.","container-title":"Molecules","DOI":"10.3390/molecules24101888","ISSN":"1420-3049","issue":"10","journalAbbreviation":"Molecules","language":"en","license":"https://creativecommons.org/licenses/by/4.0/","page":"1888","source":"DOI.org (Crossref)","title":"A Review: The Bioactivities and Pharmacological Applications of Phellinus linteus","title-short":"A Review","volume":"24","author":[{"family":"Chen","given":"Wenhua"},{"family":"Tan","given":"Huiying"},{"family":"Liu","given":"Qian"},{"family":"Zheng","given":"Xiaohua"},{"family":"Zhang","given":"Hua"},{"family":"Liu","given":"Yuhong"},{"family":"Xu","given":"Lingchuan"}],"issued":{"date-parts":[["2019",5,16]]}}},{"id":"n67l8Wxv/HTYCZ8eb","uris":["http://zotero.org/users/local/aclxgGd8/items/98VS3DW4"],"itemData":{"id":184,"type":"article-journal","container-title":"Experimental and Therapeutic Medicine","DOI":"10.3892/etm_00000063","ISSN":"1792-0981, 1792-1015","issue":"3","language":"en","page":"407-411","source":"DOI.org (Crossref)","title":"Medicinal mushroom Phellinus linteus as an alternative cancer therapy","volume":"1","author":[{"family":"Sliva","given":"Daniel"}],"issued":{"date-parts":[["2010"]]}}}],"schema":"https://github.com/citation-style-language/schema/raw/master/csl-citation.json"} </w:instrText>
      </w:r>
      <w:r w:rsidRPr="00781948">
        <w:rPr>
          <w:sz w:val="22"/>
          <w:szCs w:val="22"/>
          <w:lang w:val="id-ID"/>
        </w:rPr>
        <w:fldChar w:fldCharType="separate"/>
      </w:r>
      <w:r w:rsidRPr="00781948">
        <w:rPr>
          <w:sz w:val="22"/>
          <w:szCs w:val="22"/>
          <w:lang w:val="id-ID"/>
        </w:rPr>
        <w:t>(Chen et al., 2019; Sliva, 2010)</w:t>
      </w:r>
      <w:r w:rsidRPr="00781948">
        <w:rPr>
          <w:sz w:val="22"/>
          <w:szCs w:val="22"/>
          <w:lang w:val="id-ID"/>
        </w:rPr>
        <w:fldChar w:fldCharType="end"/>
      </w:r>
      <w:r w:rsidRPr="00781948">
        <w:rPr>
          <w:sz w:val="22"/>
          <w:szCs w:val="22"/>
          <w:lang w:val="id-ID"/>
        </w:rPr>
        <w:t xml:space="preserve">. </w:t>
      </w:r>
      <w:r w:rsidRPr="00781948">
        <w:rPr>
          <w:i/>
          <w:iCs/>
          <w:sz w:val="22"/>
          <w:szCs w:val="22"/>
          <w:lang w:val="id-ID"/>
        </w:rPr>
        <w:t xml:space="preserve">Stereum ostrea </w:t>
      </w:r>
      <w:r w:rsidRPr="00781948">
        <w:rPr>
          <w:sz w:val="22"/>
          <w:szCs w:val="22"/>
          <w:lang w:val="id-ID"/>
        </w:rPr>
        <w:t xml:space="preserve">exhibits both antimicrobial and antifungal activitity </w:t>
      </w:r>
      <w:r w:rsidRPr="00781948">
        <w:rPr>
          <w:sz w:val="22"/>
          <w:szCs w:val="22"/>
          <w:lang w:val="id-ID"/>
        </w:rPr>
        <w:fldChar w:fldCharType="begin"/>
      </w:r>
      <w:r w:rsidR="00B51C4F" w:rsidRPr="00781948">
        <w:rPr>
          <w:sz w:val="22"/>
          <w:szCs w:val="22"/>
          <w:lang w:val="id-ID"/>
        </w:rPr>
        <w:instrText xml:space="preserve"> ADDIN ZOTERO_ITEM CSL_CITATION {"citationID":"nmXg2SV7","properties":{"formattedCitation":"(Imtiaj dkk., 2007)","plainCitation":"(Imtiaj dkk., 2007)","dontUpdate":true,"noteIndex":0},"citationItems":[{"id":"n67l8Wxv/pqIhr3Sg","uris":["http://zotero.org/users/local/aclxgGd8/items/38YLWZEV"],"itemData":{"id":188,"type":"article-journal","container-title":"Mycobiology","DOI":"10.4489/MYCO.2007.35.4.210","issue":"4","page":"210-214","source":"DOI.org (CSL JSON)","title":"Antibacterial and Antifungal Activities of Stereum ostrea, an Inedible Wild Mushroom","volume":"35","author":[{"family":"Imtiaj","given":"Ahmed"},{"family":"Jayasinghe","given":"Chandana"},{"family":"Lee","given":"Geon-Woo"},{"family":"Lee","given":"Tae-Soo"}],"issued":{"date-parts":[["2007",12,31]]}}}],"schema":"https://github.com/citation-style-language/schema/raw/master/csl-citation.json"} </w:instrText>
      </w:r>
      <w:r w:rsidRPr="00781948">
        <w:rPr>
          <w:sz w:val="22"/>
          <w:szCs w:val="22"/>
          <w:lang w:val="id-ID"/>
        </w:rPr>
        <w:fldChar w:fldCharType="separate"/>
      </w:r>
      <w:r w:rsidRPr="00781948">
        <w:rPr>
          <w:sz w:val="22"/>
          <w:szCs w:val="22"/>
          <w:lang w:val="id-ID"/>
        </w:rPr>
        <w:t>(Imtiaj et al., 2007)</w:t>
      </w:r>
      <w:r w:rsidRPr="00781948">
        <w:rPr>
          <w:sz w:val="22"/>
          <w:szCs w:val="22"/>
          <w:lang w:val="id-ID"/>
        </w:rPr>
        <w:fldChar w:fldCharType="end"/>
      </w:r>
      <w:r w:rsidRPr="00781948">
        <w:rPr>
          <w:sz w:val="22"/>
          <w:szCs w:val="22"/>
          <w:lang w:val="id-ID"/>
        </w:rPr>
        <w:t xml:space="preserve">. Lastly,  </w:t>
      </w:r>
      <w:r w:rsidRPr="00781948">
        <w:rPr>
          <w:i/>
          <w:iCs/>
          <w:sz w:val="22"/>
          <w:szCs w:val="22"/>
          <w:lang w:val="id-ID"/>
        </w:rPr>
        <w:t>Xyaria</w:t>
      </w:r>
      <w:r w:rsidRPr="00781948">
        <w:rPr>
          <w:sz w:val="22"/>
          <w:szCs w:val="22"/>
          <w:lang w:val="id-ID"/>
        </w:rPr>
        <w:t xml:space="preserve"> fungi are producers of diverse biologically active compouns with 245 bioactive compouds comprising of a wide range biological activities including antibacterial, antifungal, anticancer, antimalarial, anti-inflammatory, and α-glucosidase inhibitory activities </w:t>
      </w:r>
      <w:r w:rsidRPr="00781948">
        <w:rPr>
          <w:sz w:val="22"/>
          <w:szCs w:val="22"/>
          <w:lang w:val="id-ID"/>
        </w:rPr>
        <w:fldChar w:fldCharType="begin"/>
      </w:r>
      <w:r w:rsidR="00B51C4F" w:rsidRPr="00781948">
        <w:rPr>
          <w:sz w:val="22"/>
          <w:szCs w:val="22"/>
          <w:lang w:val="id-ID"/>
        </w:rPr>
        <w:instrText xml:space="preserve"> ADDIN ZOTERO_ITEM CSL_CITATION {"citationID":"GHgfEVQ2","properties":{"custom":"(Chen dkk., 2024)","formattedCitation":"(Chen dkk., 2024)","plainCitation":"(Chen dkk., 2024)","dontUpdate":true,"noteIndex":0},"citationItems":[{"id":"n67l8Wxv/a5xeCizF","uris":["http://zotero.org/users/local/aclxgGd8/items/24LSCETG"],"itemData":{"id":190,"type":"article-journal","abstract":"The fungus genus Xylaria is an important source of drug discoveries in scientific fields and in the pharmaceutical industry due to its potential to produce a variety of structured novel and bioactive secondary metabolites. This review prioritizes the structures of the secondary metabolites of Xylaria spp. from 1994 to January 2024 and their relevant biological activities. A total of 445 new compounds, including terpenoids, nitrogen-containing compounds, polyketides, lactones, and other classes, are presented in this review. Remarkably, among these compounds, 177 compounds show various biological activities, including cytotoxic, antimicrobial, anti-inflammatory, antifungal, immunosuppressive, and enzyme-inhibitory activities. This paper will guide further investigations into the structures of novel and potent active natural products derived from Xylaria and their potential contributions to the future development of new natural drug products in the agricultural and medicinal fields.","container-title":"Journal of Fungi","DOI":"10.3390/jof10030190","ISSN":"2309-608X","issue":"3","journalAbbreviation":"JoF","language":"en","license":"https://creativecommons.org/licenses/by/4.0/","page":"190","source":"DOI.org (Crossref)","title":"Structures and Biological Activities of Secondary Metabolites from Xylaria spp.","volume":"10","author":[{"family":"Chen","given":"Weikang"},{"family":"Yu","given":"Miao"},{"family":"Chen","given":"Shiji"},{"family":"Gong","given":"Tianmi"},{"family":"Xie","given":"Linlin"},{"family":"Liu","given":"Jinqin"},{"family":"Bian","given":"Chang"},{"family":"Huang","given":"Guolei"},{"family":"Zheng","given":"Caijuan"}],"issued":{"date-parts":[["2024",2,29]]}}}],"schema":"https://github.com/citation-style-language/schema/raw/master/csl-citation.json"} </w:instrText>
      </w:r>
      <w:r w:rsidRPr="00781948">
        <w:rPr>
          <w:sz w:val="22"/>
          <w:szCs w:val="22"/>
          <w:lang w:val="id-ID"/>
        </w:rPr>
        <w:fldChar w:fldCharType="separate"/>
      </w:r>
      <w:r w:rsidRPr="00781948">
        <w:rPr>
          <w:sz w:val="22"/>
          <w:szCs w:val="22"/>
          <w:lang w:val="id-ID"/>
        </w:rPr>
        <w:t>(Chen et al., 2024)</w:t>
      </w:r>
      <w:r w:rsidRPr="00781948">
        <w:rPr>
          <w:sz w:val="22"/>
          <w:szCs w:val="22"/>
          <w:lang w:val="id-ID"/>
        </w:rPr>
        <w:fldChar w:fldCharType="end"/>
      </w:r>
      <w:r w:rsidRPr="00781948">
        <w:rPr>
          <w:sz w:val="22"/>
          <w:szCs w:val="22"/>
          <w:lang w:val="id-ID"/>
        </w:rPr>
        <w:t>.</w:t>
      </w:r>
    </w:p>
    <w:p w14:paraId="27192DB6" w14:textId="77777777" w:rsidR="00C666AF" w:rsidRPr="00781948" w:rsidRDefault="00C666AF">
      <w:pPr>
        <w:widowControl w:val="0"/>
        <w:autoSpaceDE w:val="0"/>
        <w:autoSpaceDN w:val="0"/>
        <w:adjustRightInd w:val="0"/>
        <w:ind w:firstLine="720"/>
        <w:jc w:val="both"/>
        <w:rPr>
          <w:sz w:val="20"/>
          <w:szCs w:val="20"/>
          <w:lang w:val="id-ID"/>
        </w:rPr>
      </w:pPr>
    </w:p>
    <w:p w14:paraId="0BFB73CA" w14:textId="77777777" w:rsidR="00C666AF" w:rsidRPr="00781948" w:rsidRDefault="00000000">
      <w:pPr>
        <w:widowControl w:val="0"/>
        <w:autoSpaceDE w:val="0"/>
        <w:autoSpaceDN w:val="0"/>
        <w:adjustRightInd w:val="0"/>
        <w:jc w:val="both"/>
        <w:rPr>
          <w:b/>
          <w:sz w:val="22"/>
          <w:szCs w:val="22"/>
          <w:lang w:val="id-ID"/>
        </w:rPr>
      </w:pPr>
      <w:r w:rsidRPr="00781948">
        <w:rPr>
          <w:b/>
          <w:sz w:val="22"/>
          <w:szCs w:val="22"/>
          <w:lang w:val="id-ID"/>
        </w:rPr>
        <w:t>Conclusion</w:t>
      </w:r>
    </w:p>
    <w:p w14:paraId="4895C999" w14:textId="77777777" w:rsidR="00C666AF" w:rsidRPr="00781948" w:rsidRDefault="00C666AF">
      <w:pPr>
        <w:widowControl w:val="0"/>
        <w:autoSpaceDE w:val="0"/>
        <w:autoSpaceDN w:val="0"/>
        <w:adjustRightInd w:val="0"/>
        <w:jc w:val="both"/>
        <w:rPr>
          <w:b/>
          <w:sz w:val="22"/>
          <w:szCs w:val="22"/>
          <w:lang w:val="id-ID"/>
        </w:rPr>
      </w:pPr>
    </w:p>
    <w:p w14:paraId="3563DBC8" w14:textId="77777777" w:rsidR="00C666AF" w:rsidRPr="00781948" w:rsidRDefault="00000000" w:rsidP="00AF5AE6">
      <w:pPr>
        <w:widowControl w:val="0"/>
        <w:ind w:firstLine="540"/>
        <w:jc w:val="both"/>
        <w:rPr>
          <w:sz w:val="22"/>
          <w:szCs w:val="22"/>
          <w:lang w:val="id-ID"/>
        </w:rPr>
      </w:pPr>
      <w:r w:rsidRPr="00781948">
        <w:rPr>
          <w:sz w:val="22"/>
          <w:szCs w:val="22"/>
          <w:lang w:val="id-ID"/>
        </w:rPr>
        <w:t xml:space="preserve">TWA Gunung Tunak harbors a diverse community of macrofungi with potential applications in various fields. A total of 11 species of macrofungi from 6 families namely </w:t>
      </w:r>
      <w:r w:rsidRPr="00781948">
        <w:rPr>
          <w:i/>
          <w:iCs/>
          <w:sz w:val="22"/>
          <w:szCs w:val="22"/>
          <w:lang w:val="id-ID"/>
        </w:rPr>
        <w:t xml:space="preserve">Polyporaceae, Irpicaceae, Hymenochaetaceae, Gloeophyllacaeae, Stereaceae, </w:t>
      </w:r>
      <w:r w:rsidRPr="00781948">
        <w:rPr>
          <w:sz w:val="22"/>
          <w:szCs w:val="22"/>
          <w:lang w:val="id-ID"/>
        </w:rPr>
        <w:t>and</w:t>
      </w:r>
      <w:r w:rsidRPr="00781948">
        <w:rPr>
          <w:i/>
          <w:iCs/>
          <w:sz w:val="22"/>
          <w:szCs w:val="22"/>
          <w:lang w:val="id-ID"/>
        </w:rPr>
        <w:t xml:space="preserve"> Xylariaceae</w:t>
      </w:r>
      <w:r w:rsidRPr="00781948">
        <w:rPr>
          <w:sz w:val="22"/>
          <w:szCs w:val="22"/>
          <w:lang w:val="id-ID"/>
        </w:rPr>
        <w:t xml:space="preserve"> have been identified in TWA Gunung Tunak. The diversity index of the marcrofungi is considered moderate, which is affected by the environmental conditions such as temperature, season, moisture, and rainfall. The macrofungal species found have the potential as medicinal source and food. The species number of macrofungi found in this area is certainly not the final data. Therefore, further study should be conducted to explore the diversity of macrofungi throughout the forest and accross different seasons each year, aiming for more comprehensive data and information. Additionally molecular identification is necessary for the possibility of discovering new species or records in this forest.</w:t>
      </w:r>
    </w:p>
    <w:p w14:paraId="52F36265" w14:textId="77777777" w:rsidR="00C666AF" w:rsidRPr="00781948" w:rsidRDefault="00C666AF">
      <w:pPr>
        <w:widowControl w:val="0"/>
        <w:autoSpaceDE w:val="0"/>
        <w:autoSpaceDN w:val="0"/>
        <w:adjustRightInd w:val="0"/>
        <w:jc w:val="both"/>
        <w:rPr>
          <w:sz w:val="22"/>
          <w:szCs w:val="22"/>
          <w:lang w:val="id-ID"/>
        </w:rPr>
      </w:pPr>
    </w:p>
    <w:p w14:paraId="5E129541" w14:textId="77777777" w:rsidR="00C666AF" w:rsidRPr="00781948" w:rsidRDefault="00000000">
      <w:pPr>
        <w:widowControl w:val="0"/>
        <w:autoSpaceDE w:val="0"/>
        <w:autoSpaceDN w:val="0"/>
        <w:adjustRightInd w:val="0"/>
        <w:jc w:val="both"/>
        <w:rPr>
          <w:b/>
          <w:sz w:val="22"/>
          <w:szCs w:val="22"/>
          <w:lang w:val="id-ID"/>
        </w:rPr>
      </w:pPr>
      <w:r w:rsidRPr="00781948">
        <w:rPr>
          <w:b/>
          <w:sz w:val="22"/>
          <w:szCs w:val="22"/>
          <w:lang w:val="id-ID"/>
        </w:rPr>
        <w:t>Acknowledgements</w:t>
      </w:r>
    </w:p>
    <w:p w14:paraId="09F4D348" w14:textId="77777777" w:rsidR="00C666AF" w:rsidRPr="00781948" w:rsidRDefault="00C666AF">
      <w:pPr>
        <w:widowControl w:val="0"/>
        <w:autoSpaceDE w:val="0"/>
        <w:autoSpaceDN w:val="0"/>
        <w:adjustRightInd w:val="0"/>
        <w:jc w:val="both"/>
        <w:rPr>
          <w:b/>
          <w:sz w:val="22"/>
          <w:szCs w:val="22"/>
          <w:lang w:val="id-ID"/>
        </w:rPr>
      </w:pPr>
    </w:p>
    <w:p w14:paraId="105A1D84" w14:textId="71C2DB17" w:rsidR="00C666AF" w:rsidRPr="00781948" w:rsidRDefault="00000000" w:rsidP="00AF5AE6">
      <w:pPr>
        <w:widowControl w:val="0"/>
        <w:ind w:firstLine="540"/>
        <w:jc w:val="both"/>
        <w:rPr>
          <w:sz w:val="22"/>
          <w:szCs w:val="22"/>
          <w:lang w:val="id-ID"/>
        </w:rPr>
      </w:pPr>
      <w:r w:rsidRPr="00781948">
        <w:rPr>
          <w:sz w:val="22"/>
          <w:szCs w:val="22"/>
          <w:lang w:val="id-ID"/>
        </w:rPr>
        <w:t xml:space="preserve">This study was funded by the LPPM Universitas Islam Al-Azhar through the PDP research scheme under the UNIZAR Internal Grants. We would like to thank our students from the Department of Biology, Faculty of Mathematics and Natural Science, UNIZAR (Ahmad Rifan Hadi, Dedi Kurniawan, Intan Kirani, and Yaumil Hijria) who helped with the field data collection and Balai Konservasi Sumber Daya Alam (BKSDA) NTB who helped with the study method and sampling permit. </w:t>
      </w:r>
    </w:p>
    <w:p w14:paraId="6C2B18CF" w14:textId="77777777" w:rsidR="00C666AF" w:rsidRPr="00781948" w:rsidRDefault="00C666AF">
      <w:pPr>
        <w:tabs>
          <w:tab w:val="left" w:pos="720"/>
          <w:tab w:val="left" w:pos="1440"/>
          <w:tab w:val="left" w:pos="2160"/>
          <w:tab w:val="left" w:pos="2880"/>
          <w:tab w:val="left" w:pos="3600"/>
          <w:tab w:val="left" w:pos="4320"/>
          <w:tab w:val="left" w:pos="5040"/>
          <w:tab w:val="left" w:pos="5760"/>
          <w:tab w:val="left" w:pos="6480"/>
          <w:tab w:val="left" w:pos="7200"/>
          <w:tab w:val="left" w:pos="8247"/>
        </w:tabs>
        <w:jc w:val="both"/>
        <w:rPr>
          <w:sz w:val="22"/>
          <w:szCs w:val="22"/>
          <w:lang w:val="id-ID"/>
        </w:rPr>
      </w:pPr>
    </w:p>
    <w:p w14:paraId="4C639E75" w14:textId="77777777" w:rsidR="00C666AF" w:rsidRPr="0078194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8247"/>
        </w:tabs>
        <w:jc w:val="both"/>
        <w:rPr>
          <w:b/>
          <w:bCs/>
          <w:sz w:val="22"/>
          <w:szCs w:val="22"/>
          <w:lang w:val="id-ID"/>
        </w:rPr>
      </w:pPr>
      <w:r w:rsidRPr="00781948">
        <w:rPr>
          <w:b/>
          <w:bCs/>
          <w:sz w:val="22"/>
          <w:szCs w:val="22"/>
          <w:lang w:val="id-ID"/>
        </w:rPr>
        <w:t>References</w:t>
      </w:r>
    </w:p>
    <w:p w14:paraId="5E3F38A4" w14:textId="77777777" w:rsidR="00C666AF" w:rsidRPr="00781948" w:rsidRDefault="00C666AF">
      <w:pPr>
        <w:widowControl w:val="0"/>
        <w:autoSpaceDE w:val="0"/>
        <w:autoSpaceDN w:val="0"/>
        <w:adjustRightInd w:val="0"/>
        <w:ind w:firstLine="567"/>
        <w:jc w:val="both"/>
        <w:rPr>
          <w:sz w:val="22"/>
          <w:szCs w:val="22"/>
          <w:lang w:val="id-ID"/>
        </w:rPr>
      </w:pPr>
    </w:p>
    <w:p w14:paraId="6278936C"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Ajibola, O. O., Nolasco-Hipolito, C., Carvajal-Zarrabal, O., Salleh, S. F., Adeyinka, G. C., Adefegha, S. A., Ahmmed, M. K., Sumaiya, K., &amp; Thomas, R. (2024). Turkey tail mushroom (Trametes versicolor): An edible macrofungi with immense medicinal properties. </w:t>
      </w:r>
      <w:r w:rsidRPr="00781948">
        <w:rPr>
          <w:i/>
          <w:iCs/>
          <w:sz w:val="22"/>
          <w:lang w:val="id-ID"/>
        </w:rPr>
        <w:t>Current Opinion in Food Science</w:t>
      </w:r>
      <w:r w:rsidRPr="00781948">
        <w:rPr>
          <w:sz w:val="22"/>
          <w:lang w:val="id-ID"/>
        </w:rPr>
        <w:t xml:space="preserve">, </w:t>
      </w:r>
      <w:r w:rsidRPr="00781948">
        <w:rPr>
          <w:i/>
          <w:iCs/>
          <w:sz w:val="22"/>
          <w:lang w:val="id-ID"/>
        </w:rPr>
        <w:t>58</w:t>
      </w:r>
      <w:r w:rsidRPr="00781948">
        <w:rPr>
          <w:sz w:val="22"/>
          <w:lang w:val="id-ID"/>
        </w:rPr>
        <w:t>, 101191. https://doi.org/10.1016/j.cofs.2024.101191</w:t>
      </w:r>
    </w:p>
    <w:p w14:paraId="46BC6F66"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Alem, D., Dejene, T., Oria-de-Rueda, J. A., &amp; Martín-Pinto, P. (2021). Survey of macrofungal diversity and analysis of edaphic factors influencing the fungal community of church forests in Dry Afromontane areas of Northern Ethiopia. </w:t>
      </w:r>
      <w:r w:rsidRPr="00781948">
        <w:rPr>
          <w:i/>
          <w:iCs/>
          <w:sz w:val="22"/>
          <w:lang w:val="id-ID"/>
        </w:rPr>
        <w:t>Forest Ecology and Management</w:t>
      </w:r>
      <w:r w:rsidRPr="00781948">
        <w:rPr>
          <w:sz w:val="22"/>
          <w:lang w:val="id-ID"/>
        </w:rPr>
        <w:t xml:space="preserve">, </w:t>
      </w:r>
      <w:r w:rsidRPr="00781948">
        <w:rPr>
          <w:i/>
          <w:iCs/>
          <w:sz w:val="22"/>
          <w:lang w:val="id-ID"/>
        </w:rPr>
        <w:t>496</w:t>
      </w:r>
      <w:r w:rsidRPr="00781948">
        <w:rPr>
          <w:sz w:val="22"/>
          <w:lang w:val="id-ID"/>
        </w:rPr>
        <w:t xml:space="preserve">, </w:t>
      </w:r>
      <w:r w:rsidRPr="00781948">
        <w:rPr>
          <w:sz w:val="22"/>
          <w:lang w:val="id-ID"/>
        </w:rPr>
        <w:lastRenderedPageBreak/>
        <w:t>119391. https://doi.org/10.1016/j.foreco.2021.119391</w:t>
      </w:r>
    </w:p>
    <w:p w14:paraId="460A8734"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Chen, H.-P., Ji, X., Li, Z.-H., Feng, T., &amp; Liu, J.-K. (2020). Irlactane and Tremulane Sesquiterpenes from the Cultures of the Medicinal Fungus Irpex lacteus HFG1102. </w:t>
      </w:r>
      <w:r w:rsidRPr="00781948">
        <w:rPr>
          <w:i/>
          <w:iCs/>
          <w:sz w:val="22"/>
          <w:lang w:val="id-ID"/>
        </w:rPr>
        <w:t>Natural Products and Bioprospecting</w:t>
      </w:r>
      <w:r w:rsidRPr="00781948">
        <w:rPr>
          <w:sz w:val="22"/>
          <w:lang w:val="id-ID"/>
        </w:rPr>
        <w:t xml:space="preserve">, </w:t>
      </w:r>
      <w:r w:rsidRPr="00781948">
        <w:rPr>
          <w:i/>
          <w:iCs/>
          <w:sz w:val="22"/>
          <w:lang w:val="id-ID"/>
        </w:rPr>
        <w:t>10</w:t>
      </w:r>
      <w:r w:rsidRPr="00781948">
        <w:rPr>
          <w:sz w:val="22"/>
          <w:lang w:val="id-ID"/>
        </w:rPr>
        <w:t>(2), 89–100. https://doi.org/10.1007/s13659-020-00239-z</w:t>
      </w:r>
    </w:p>
    <w:p w14:paraId="1CF1A5FE"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Chen, W., Tan, H., Liu, Q., Zheng, X., Zhang, H., Liu, Y., &amp; Xu, L. (2019). A Review: The Bioactivities and Pharmacological Applications of Phellinus linteus. </w:t>
      </w:r>
      <w:r w:rsidRPr="00781948">
        <w:rPr>
          <w:i/>
          <w:iCs/>
          <w:sz w:val="22"/>
          <w:lang w:val="id-ID"/>
        </w:rPr>
        <w:t>Molecules</w:t>
      </w:r>
      <w:r w:rsidRPr="00781948">
        <w:rPr>
          <w:sz w:val="22"/>
          <w:lang w:val="id-ID"/>
        </w:rPr>
        <w:t xml:space="preserve">, </w:t>
      </w:r>
      <w:r w:rsidRPr="00781948">
        <w:rPr>
          <w:i/>
          <w:iCs/>
          <w:sz w:val="22"/>
          <w:lang w:val="id-ID"/>
        </w:rPr>
        <w:t>24</w:t>
      </w:r>
      <w:r w:rsidRPr="00781948">
        <w:rPr>
          <w:sz w:val="22"/>
          <w:lang w:val="id-ID"/>
        </w:rPr>
        <w:t>(10), 1888. https://doi.org/10.3390/molecules24101888</w:t>
      </w:r>
    </w:p>
    <w:p w14:paraId="7D79BB6A"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Chen, W., Yu, M., Chen, S., Gong, T., Xie, L., Liu, J., Bian, C., Huang, G., &amp; Zheng, C. (2024). Structures and Biological Activities of Secondary Metabolites from Xylaria spp. </w:t>
      </w:r>
      <w:r w:rsidRPr="00781948">
        <w:rPr>
          <w:i/>
          <w:iCs/>
          <w:sz w:val="22"/>
          <w:lang w:val="id-ID"/>
        </w:rPr>
        <w:t>Journal of Fungi</w:t>
      </w:r>
      <w:r w:rsidRPr="00781948">
        <w:rPr>
          <w:sz w:val="22"/>
          <w:lang w:val="id-ID"/>
        </w:rPr>
        <w:t xml:space="preserve">, </w:t>
      </w:r>
      <w:r w:rsidRPr="00781948">
        <w:rPr>
          <w:i/>
          <w:iCs/>
          <w:sz w:val="22"/>
          <w:lang w:val="id-ID"/>
        </w:rPr>
        <w:t>10</w:t>
      </w:r>
      <w:r w:rsidRPr="00781948">
        <w:rPr>
          <w:sz w:val="22"/>
          <w:lang w:val="id-ID"/>
        </w:rPr>
        <w:t>(3), 190. https://doi.org/10.3390/jof10030190</w:t>
      </w:r>
    </w:p>
    <w:p w14:paraId="4217CFE9"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Cheng, Y., Zhou, L.-J., Jiang, J.-H., Tian, X.-M., &amp; Zhou, L.-W. (2023). </w:t>
      </w:r>
      <w:r w:rsidRPr="00781948">
        <w:rPr>
          <w:i/>
          <w:iCs/>
          <w:sz w:val="22"/>
          <w:lang w:val="id-ID"/>
        </w:rPr>
        <w:t>Phylloporia</w:t>
      </w:r>
      <w:r w:rsidRPr="00781948">
        <w:rPr>
          <w:sz w:val="22"/>
          <w:lang w:val="id-ID"/>
        </w:rPr>
        <w:t xml:space="preserve"> (Hymenochaetales, Basidiomycota), a Medicinal Wood-inhabiting Fungal Genus with Much Potential for Commercial Development. </w:t>
      </w:r>
      <w:r w:rsidRPr="00781948">
        <w:rPr>
          <w:i/>
          <w:iCs/>
          <w:sz w:val="22"/>
          <w:lang w:val="id-ID"/>
        </w:rPr>
        <w:t>Food Reviews International</w:t>
      </w:r>
      <w:r w:rsidRPr="00781948">
        <w:rPr>
          <w:sz w:val="22"/>
          <w:lang w:val="id-ID"/>
        </w:rPr>
        <w:t xml:space="preserve">, </w:t>
      </w:r>
      <w:r w:rsidRPr="00781948">
        <w:rPr>
          <w:i/>
          <w:iCs/>
          <w:sz w:val="22"/>
          <w:lang w:val="id-ID"/>
        </w:rPr>
        <w:t>39</w:t>
      </w:r>
      <w:r w:rsidRPr="00781948">
        <w:rPr>
          <w:sz w:val="22"/>
          <w:lang w:val="id-ID"/>
        </w:rPr>
        <w:t>(5), 2776–2789. https://doi.org/10.1080/87559129.2021.1967382</w:t>
      </w:r>
    </w:p>
    <w:p w14:paraId="269007F8"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Chepkirui, C., Yuyama, K. T., Wanga, L. A., Decock, C., Matasyoh, J. C., Abraham, W.-R., &amp; Stadler, M. (2018). Microporenic Acids A–G, Biofilm Inhibitors, and Antimicrobial Agents from the Basidiomycete </w:t>
      </w:r>
      <w:r w:rsidRPr="00781948">
        <w:rPr>
          <w:i/>
          <w:iCs/>
          <w:sz w:val="22"/>
          <w:lang w:val="id-ID"/>
        </w:rPr>
        <w:t>Microporus</w:t>
      </w:r>
      <w:r w:rsidRPr="00781948">
        <w:rPr>
          <w:sz w:val="22"/>
          <w:lang w:val="id-ID"/>
        </w:rPr>
        <w:t xml:space="preserve"> Species. </w:t>
      </w:r>
      <w:r w:rsidRPr="00781948">
        <w:rPr>
          <w:i/>
          <w:iCs/>
          <w:sz w:val="22"/>
          <w:lang w:val="id-ID"/>
        </w:rPr>
        <w:t>Journal of Natural Products</w:t>
      </w:r>
      <w:r w:rsidRPr="00781948">
        <w:rPr>
          <w:sz w:val="22"/>
          <w:lang w:val="id-ID"/>
        </w:rPr>
        <w:t xml:space="preserve">, </w:t>
      </w:r>
      <w:r w:rsidRPr="00781948">
        <w:rPr>
          <w:i/>
          <w:iCs/>
          <w:sz w:val="22"/>
          <w:lang w:val="id-ID"/>
        </w:rPr>
        <w:t>81</w:t>
      </w:r>
      <w:r w:rsidRPr="00781948">
        <w:rPr>
          <w:sz w:val="22"/>
          <w:lang w:val="id-ID"/>
        </w:rPr>
        <w:t>(4), 778–784. https://doi.org/10.1021/acs.jnatprod.7b00764</w:t>
      </w:r>
    </w:p>
    <w:p w14:paraId="7E8E8543"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Collado, E., Bonet, J. A., Alday, J. G., Martínez De Aragón, J., &amp; de-Miguel, S. (2021). Impact of forest thinning on aboveground macrofungal community composition and diversity in Mediterranean pine stands. </w:t>
      </w:r>
      <w:r w:rsidRPr="00781948">
        <w:rPr>
          <w:i/>
          <w:iCs/>
          <w:sz w:val="22"/>
          <w:lang w:val="id-ID"/>
        </w:rPr>
        <w:t>Ecological Indicators</w:t>
      </w:r>
      <w:r w:rsidRPr="00781948">
        <w:rPr>
          <w:sz w:val="22"/>
          <w:lang w:val="id-ID"/>
        </w:rPr>
        <w:t xml:space="preserve">, </w:t>
      </w:r>
      <w:r w:rsidRPr="00781948">
        <w:rPr>
          <w:i/>
          <w:iCs/>
          <w:sz w:val="22"/>
          <w:lang w:val="id-ID"/>
        </w:rPr>
        <w:t>133</w:t>
      </w:r>
      <w:r w:rsidRPr="00781948">
        <w:rPr>
          <w:sz w:val="22"/>
          <w:lang w:val="id-ID"/>
        </w:rPr>
        <w:t>, 108340. https://doi.org/10.1016/j.ecolind.2021.108340</w:t>
      </w:r>
    </w:p>
    <w:p w14:paraId="3C9B692E"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Conn, C., &amp; Dighton, J. (2000). Litter quality influences on decomposition, ectomycorrhizal community structure and mycorrhizal root surface acid phosphatase activity. </w:t>
      </w:r>
      <w:r w:rsidRPr="00781948">
        <w:rPr>
          <w:i/>
          <w:iCs/>
          <w:sz w:val="22"/>
          <w:lang w:val="id-ID"/>
        </w:rPr>
        <w:t>Soil Biology and Biochemistry</w:t>
      </w:r>
      <w:r w:rsidRPr="00781948">
        <w:rPr>
          <w:sz w:val="22"/>
          <w:lang w:val="id-ID"/>
        </w:rPr>
        <w:t xml:space="preserve">, </w:t>
      </w:r>
      <w:r w:rsidRPr="00781948">
        <w:rPr>
          <w:i/>
          <w:iCs/>
          <w:sz w:val="22"/>
          <w:lang w:val="id-ID"/>
        </w:rPr>
        <w:t>32</w:t>
      </w:r>
      <w:r w:rsidRPr="00781948">
        <w:rPr>
          <w:sz w:val="22"/>
          <w:lang w:val="id-ID"/>
        </w:rPr>
        <w:t>(4), 489–496. https://doi.org/10.1016/S0038-0717(99)00178-9</w:t>
      </w:r>
    </w:p>
    <w:p w14:paraId="311EDDB5"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Elina, C., &amp; Mayana, E. (2019). POTENSI OBYEK WISATA TAMAN WISATA ALAM GUNUNG TUNAK. </w:t>
      </w:r>
      <w:r w:rsidRPr="00781948">
        <w:rPr>
          <w:i/>
          <w:iCs/>
          <w:sz w:val="22"/>
          <w:lang w:val="id-ID"/>
        </w:rPr>
        <w:t>JURNAL SOSIAL EKONOMI DAN HUMANIORA</w:t>
      </w:r>
      <w:r w:rsidRPr="00781948">
        <w:rPr>
          <w:sz w:val="22"/>
          <w:lang w:val="id-ID"/>
        </w:rPr>
        <w:t xml:space="preserve">, </w:t>
      </w:r>
      <w:r w:rsidRPr="00781948">
        <w:rPr>
          <w:i/>
          <w:iCs/>
          <w:sz w:val="22"/>
          <w:lang w:val="id-ID"/>
        </w:rPr>
        <w:t>5</w:t>
      </w:r>
      <w:r w:rsidRPr="00781948">
        <w:rPr>
          <w:sz w:val="22"/>
          <w:lang w:val="id-ID"/>
        </w:rPr>
        <w:t>(2), 134–139. https://doi.org/10.29303/jseh.v5i2.40</w:t>
      </w:r>
    </w:p>
    <w:p w14:paraId="082C33FC"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Gandjar, I., Sjamsurizal, W., &amp; Oetari, A. (2006). </w:t>
      </w:r>
      <w:r w:rsidRPr="00781948">
        <w:rPr>
          <w:i/>
          <w:iCs/>
          <w:sz w:val="22"/>
          <w:lang w:val="id-ID"/>
        </w:rPr>
        <w:t>Mikologi Dasar dan Terapan</w:t>
      </w:r>
      <w:r w:rsidRPr="00781948">
        <w:rPr>
          <w:sz w:val="22"/>
          <w:lang w:val="id-ID"/>
        </w:rPr>
        <w:t>. Yayasan Pustaka Obor Indonesia.</w:t>
      </w:r>
    </w:p>
    <w:p w14:paraId="22D30C1C"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Ghosh, S. K., Sanyal, T., &amp; Bera, T. (2020). Anticancer Activity of Solvent Extracts of Hexogonia glabra against Cervical Cancer Cell Lines. </w:t>
      </w:r>
      <w:r w:rsidRPr="00781948">
        <w:rPr>
          <w:i/>
          <w:iCs/>
          <w:sz w:val="22"/>
          <w:lang w:val="id-ID"/>
        </w:rPr>
        <w:t>Asian Pacific Journal of Cancer Prevention</w:t>
      </w:r>
      <w:r w:rsidRPr="00781948">
        <w:rPr>
          <w:sz w:val="22"/>
          <w:lang w:val="id-ID"/>
        </w:rPr>
        <w:t xml:space="preserve">, </w:t>
      </w:r>
      <w:r w:rsidRPr="00781948">
        <w:rPr>
          <w:i/>
          <w:iCs/>
          <w:sz w:val="22"/>
          <w:lang w:val="id-ID"/>
        </w:rPr>
        <w:t>21</w:t>
      </w:r>
      <w:r w:rsidRPr="00781948">
        <w:rPr>
          <w:sz w:val="22"/>
          <w:lang w:val="id-ID"/>
        </w:rPr>
        <w:t>(7), 1977–1986. https://doi.org/10.31557/APJCP.2020.21.7.1977</w:t>
      </w:r>
    </w:p>
    <w:p w14:paraId="1584658B"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Hawksworth, D. L., &amp; Lücking, R. (2017). Fungal Diversity Revisited: 2.2 to 3.8 Million Species. </w:t>
      </w:r>
      <w:r w:rsidRPr="00781948">
        <w:rPr>
          <w:i/>
          <w:iCs/>
          <w:sz w:val="22"/>
          <w:lang w:val="id-ID"/>
        </w:rPr>
        <w:t>Microbiology Spectrum</w:t>
      </w:r>
      <w:r w:rsidRPr="00781948">
        <w:rPr>
          <w:sz w:val="22"/>
          <w:lang w:val="id-ID"/>
        </w:rPr>
        <w:t xml:space="preserve">, </w:t>
      </w:r>
      <w:r w:rsidRPr="00781948">
        <w:rPr>
          <w:i/>
          <w:iCs/>
          <w:sz w:val="22"/>
          <w:lang w:val="id-ID"/>
        </w:rPr>
        <w:t>5</w:t>
      </w:r>
      <w:r w:rsidRPr="00781948">
        <w:rPr>
          <w:sz w:val="22"/>
          <w:lang w:val="id-ID"/>
        </w:rPr>
        <w:t>(4), Article 4. https://doi.org/10.1128/microbiolspec.FUNK-0052-2016</w:t>
      </w:r>
    </w:p>
    <w:p w14:paraId="13383108"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Imtiaj, A., Jayasinghe, C., Lee, G.-W., &amp; Lee, T.-S. (2007). Antibacterial and Antifungal Activities of Stereum ostrea, an Inedible Wild Mushroom. </w:t>
      </w:r>
      <w:r w:rsidRPr="00781948">
        <w:rPr>
          <w:i/>
          <w:iCs/>
          <w:sz w:val="22"/>
          <w:lang w:val="id-ID"/>
        </w:rPr>
        <w:t>Mycobiology</w:t>
      </w:r>
      <w:r w:rsidRPr="00781948">
        <w:rPr>
          <w:sz w:val="22"/>
          <w:lang w:val="id-ID"/>
        </w:rPr>
        <w:t xml:space="preserve">, </w:t>
      </w:r>
      <w:r w:rsidRPr="00781948">
        <w:rPr>
          <w:i/>
          <w:iCs/>
          <w:sz w:val="22"/>
          <w:lang w:val="id-ID"/>
        </w:rPr>
        <w:t>35</w:t>
      </w:r>
      <w:r w:rsidRPr="00781948">
        <w:rPr>
          <w:sz w:val="22"/>
          <w:lang w:val="id-ID"/>
        </w:rPr>
        <w:t>(4), 210–214. https://doi.org/10.4489/MYCO.2007.35.4.210</w:t>
      </w:r>
    </w:p>
    <w:p w14:paraId="6DBDC7D6"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Kutszegi, G., Siller, I., Dima, B., Merényi, Z., Varga, T., Takács, K., Turcsányi, G., Bidló, A., &amp; Ódor, P. (2021). Revealing hidden drivers of macrofungal species richness by analyzing fungal guilds in temperate forests, West Hungary. </w:t>
      </w:r>
      <w:r w:rsidRPr="00781948">
        <w:rPr>
          <w:i/>
          <w:iCs/>
          <w:sz w:val="22"/>
          <w:lang w:val="id-ID"/>
        </w:rPr>
        <w:t>Community Ecology</w:t>
      </w:r>
      <w:r w:rsidRPr="00781948">
        <w:rPr>
          <w:sz w:val="22"/>
          <w:lang w:val="id-ID"/>
        </w:rPr>
        <w:t xml:space="preserve">, </w:t>
      </w:r>
      <w:r w:rsidRPr="00781948">
        <w:rPr>
          <w:i/>
          <w:iCs/>
          <w:sz w:val="22"/>
          <w:lang w:val="id-ID"/>
        </w:rPr>
        <w:t>22</w:t>
      </w:r>
      <w:r w:rsidRPr="00781948">
        <w:rPr>
          <w:sz w:val="22"/>
          <w:lang w:val="id-ID"/>
        </w:rPr>
        <w:t>(1), 13–28. https://doi.org/10.1007/s42974-020-00031-6</w:t>
      </w:r>
    </w:p>
    <w:p w14:paraId="24A844F8"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Li, H., Guo, J., Goldberg, S. D., Sreekar, R., Ye, L., Luo, X., Sysouphanthong, P., Xu, J., Hyde, K. D., &amp; Mortimer, P. E. (2018). Fruiting patterns of macrofungi in tropical and temperate land use types in Yunnan Province, China. </w:t>
      </w:r>
      <w:r w:rsidRPr="00781948">
        <w:rPr>
          <w:i/>
          <w:iCs/>
          <w:sz w:val="22"/>
          <w:lang w:val="id-ID"/>
        </w:rPr>
        <w:t>Acta Oecologica</w:t>
      </w:r>
      <w:r w:rsidRPr="00781948">
        <w:rPr>
          <w:sz w:val="22"/>
          <w:lang w:val="id-ID"/>
        </w:rPr>
        <w:t xml:space="preserve">, </w:t>
      </w:r>
      <w:r w:rsidRPr="00781948">
        <w:rPr>
          <w:i/>
          <w:iCs/>
          <w:sz w:val="22"/>
          <w:lang w:val="id-ID"/>
        </w:rPr>
        <w:t>91</w:t>
      </w:r>
      <w:r w:rsidRPr="00781948">
        <w:rPr>
          <w:sz w:val="22"/>
          <w:lang w:val="id-ID"/>
        </w:rPr>
        <w:t>, 7–</w:t>
      </w:r>
      <w:r w:rsidRPr="00781948">
        <w:rPr>
          <w:sz w:val="22"/>
          <w:lang w:val="id-ID"/>
        </w:rPr>
        <w:lastRenderedPageBreak/>
        <w:t>15. https://doi.org/10.1016/j.actao.2018.05.008</w:t>
      </w:r>
    </w:p>
    <w:p w14:paraId="666AAB0B"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Lodi, R. S., Dong, X., Wang, X., Han, Y., Liang, X., Peng, C., &amp; Peng, L. (2025). Current research on the medical importance of Trametes species. </w:t>
      </w:r>
      <w:r w:rsidRPr="00781948">
        <w:rPr>
          <w:i/>
          <w:iCs/>
          <w:sz w:val="22"/>
          <w:lang w:val="id-ID"/>
        </w:rPr>
        <w:t>Fungal Biology Reviews</w:t>
      </w:r>
      <w:r w:rsidRPr="00781948">
        <w:rPr>
          <w:sz w:val="22"/>
          <w:lang w:val="id-ID"/>
        </w:rPr>
        <w:t xml:space="preserve">, </w:t>
      </w:r>
      <w:r w:rsidRPr="00781948">
        <w:rPr>
          <w:i/>
          <w:iCs/>
          <w:sz w:val="22"/>
          <w:lang w:val="id-ID"/>
        </w:rPr>
        <w:t>51</w:t>
      </w:r>
      <w:r w:rsidRPr="00781948">
        <w:rPr>
          <w:sz w:val="22"/>
          <w:lang w:val="id-ID"/>
        </w:rPr>
        <w:t>, 100413. https://doi.org/10.1016/j.fbr.2025.100413</w:t>
      </w:r>
    </w:p>
    <w:p w14:paraId="2530B3BE"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Margalef, R. (1964). Correspondence between the classic types of lakes and the structural and dynamic properties of their populations: With l figure and 2 tables in the text. </w:t>
      </w:r>
      <w:r w:rsidRPr="00781948">
        <w:rPr>
          <w:i/>
          <w:iCs/>
          <w:sz w:val="22"/>
          <w:lang w:val="id-ID"/>
        </w:rPr>
        <w:t>SIL Proceedings, 1922-2010</w:t>
      </w:r>
      <w:r w:rsidRPr="00781948">
        <w:rPr>
          <w:sz w:val="22"/>
          <w:lang w:val="id-ID"/>
        </w:rPr>
        <w:t xml:space="preserve">, </w:t>
      </w:r>
      <w:r w:rsidRPr="00781948">
        <w:rPr>
          <w:i/>
          <w:iCs/>
          <w:sz w:val="22"/>
          <w:lang w:val="id-ID"/>
        </w:rPr>
        <w:t>15</w:t>
      </w:r>
      <w:r w:rsidRPr="00781948">
        <w:rPr>
          <w:sz w:val="22"/>
          <w:lang w:val="id-ID"/>
        </w:rPr>
        <w:t>(1), 169–175. https://doi.org/10.1080/03680770.1962.11895518</w:t>
      </w:r>
    </w:p>
    <w:p w14:paraId="586C4555"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Nurdiyanti, M. D., Suharti, A., Amelya, M. P., &amp; Putra, I. P. (2020). Catatan Diversitas Jamur di Salah Satu Pulau Terluar Republik Indonesia: Notes on the Diversity of Macrofungi at one of the Outermost Islands in the Republic of Indonesia. </w:t>
      </w:r>
      <w:r w:rsidRPr="00781948">
        <w:rPr>
          <w:i/>
          <w:iCs/>
          <w:sz w:val="22"/>
          <w:lang w:val="id-ID"/>
        </w:rPr>
        <w:t>Jurnal Sumberdaya Hayati</w:t>
      </w:r>
      <w:r w:rsidRPr="00781948">
        <w:rPr>
          <w:sz w:val="22"/>
          <w:lang w:val="id-ID"/>
        </w:rPr>
        <w:t xml:space="preserve">, </w:t>
      </w:r>
      <w:r w:rsidRPr="00781948">
        <w:rPr>
          <w:i/>
          <w:iCs/>
          <w:sz w:val="22"/>
          <w:lang w:val="id-ID"/>
        </w:rPr>
        <w:t>6</w:t>
      </w:r>
      <w:r w:rsidRPr="00781948">
        <w:rPr>
          <w:sz w:val="22"/>
          <w:lang w:val="id-ID"/>
        </w:rPr>
        <w:t>(2), Article 2. https://doi.org/10.29244/jsdh.6.2.56-66</w:t>
      </w:r>
    </w:p>
    <w:p w14:paraId="4CACA864" w14:textId="77777777" w:rsidR="00AF5AE6" w:rsidRPr="00781948" w:rsidRDefault="00AF5AE6" w:rsidP="00AF5AE6">
      <w:pPr>
        <w:pStyle w:val="Bibliography"/>
        <w:spacing w:line="240" w:lineRule="auto"/>
        <w:ind w:left="540" w:hanging="540"/>
        <w:jc w:val="both"/>
        <w:rPr>
          <w:sz w:val="22"/>
          <w:lang w:val="id-ID"/>
        </w:rPr>
      </w:pPr>
      <w:r w:rsidRPr="00781948">
        <w:rPr>
          <w:sz w:val="22"/>
          <w:lang w:val="id-ID"/>
        </w:rPr>
        <w:t xml:space="preserve">Pratama, A. A., Alpiansah, R., Yuliana, I., &amp; Hermanto, A. (2023). Potret Pengelolaan Berkelanjutan Taman Wisata Alam Gunung Tunak Kabupaten Lombok Tengah. </w:t>
      </w:r>
      <w:r w:rsidRPr="00781948">
        <w:rPr>
          <w:i/>
          <w:iCs/>
          <w:sz w:val="22"/>
          <w:lang w:val="id-ID"/>
        </w:rPr>
        <w:t>Target: Jurnal Manajemen Dan Bisnis</w:t>
      </w:r>
      <w:r w:rsidRPr="00781948">
        <w:rPr>
          <w:sz w:val="22"/>
          <w:lang w:val="id-ID"/>
        </w:rPr>
        <w:t xml:space="preserve">, </w:t>
      </w:r>
      <w:r w:rsidRPr="00781948">
        <w:rPr>
          <w:i/>
          <w:iCs/>
          <w:sz w:val="22"/>
          <w:lang w:val="id-ID"/>
        </w:rPr>
        <w:t>5</w:t>
      </w:r>
      <w:r w:rsidRPr="00781948">
        <w:rPr>
          <w:sz w:val="22"/>
          <w:lang w:val="id-ID"/>
        </w:rPr>
        <w:t>(1), 39–46. https://doi.org/10.30812/target.v5i1.2881</w:t>
      </w:r>
    </w:p>
    <w:p w14:paraId="16C4EE5B" w14:textId="77777777" w:rsidR="00AF5AE6" w:rsidRPr="00291420" w:rsidRDefault="00AF5AE6" w:rsidP="00AF5AE6">
      <w:pPr>
        <w:pStyle w:val="Bibliography"/>
        <w:spacing w:line="240" w:lineRule="auto"/>
        <w:ind w:left="540" w:hanging="540"/>
        <w:jc w:val="both"/>
        <w:rPr>
          <w:sz w:val="22"/>
          <w:lang w:val="id-ID"/>
        </w:rPr>
      </w:pPr>
      <w:r w:rsidRPr="00781948">
        <w:rPr>
          <w:sz w:val="22"/>
          <w:lang w:val="id-ID"/>
        </w:rPr>
        <w:t xml:space="preserve">Priyamvada, H., Akila, M., Singh, R. K., Ravikrishna, R., Verma, R. S., Philip, L., Marathe, R. R., Sahu, L. K., Sudheer, K. P., &amp; Gunthe, S. S. (2017). Terrestrial Macrofungal Diversity from the Tropical Dry Evergreen Biome of Southern India and Its Potential Role in Aerobiology. </w:t>
      </w:r>
      <w:r w:rsidRPr="00291420">
        <w:rPr>
          <w:i/>
          <w:iCs/>
          <w:sz w:val="22"/>
          <w:lang w:val="id-ID"/>
        </w:rPr>
        <w:t>PLOS ONE</w:t>
      </w:r>
      <w:r w:rsidRPr="00291420">
        <w:rPr>
          <w:sz w:val="22"/>
          <w:lang w:val="id-ID"/>
        </w:rPr>
        <w:t xml:space="preserve">, </w:t>
      </w:r>
      <w:r w:rsidRPr="00291420">
        <w:rPr>
          <w:i/>
          <w:iCs/>
          <w:sz w:val="22"/>
          <w:lang w:val="id-ID"/>
        </w:rPr>
        <w:t>12</w:t>
      </w:r>
      <w:r w:rsidRPr="00291420">
        <w:rPr>
          <w:sz w:val="22"/>
          <w:lang w:val="id-ID"/>
        </w:rPr>
        <w:t>(1), e0169333. https://doi.org/10.1371/journal.pone.0169333</w:t>
      </w:r>
    </w:p>
    <w:p w14:paraId="1BF8CD5C" w14:textId="77777777" w:rsidR="00AF5AE6" w:rsidRPr="00291420" w:rsidRDefault="00AF5AE6" w:rsidP="00AF5AE6">
      <w:pPr>
        <w:pStyle w:val="Bibliography"/>
        <w:spacing w:line="240" w:lineRule="auto"/>
        <w:ind w:left="540" w:hanging="540"/>
        <w:jc w:val="both"/>
        <w:rPr>
          <w:sz w:val="22"/>
          <w:lang w:val="id-ID"/>
        </w:rPr>
      </w:pPr>
      <w:r w:rsidRPr="00291420">
        <w:rPr>
          <w:sz w:val="22"/>
          <w:lang w:val="id-ID"/>
        </w:rPr>
        <w:t xml:space="preserve">Putra, I. P., Sitompul, R., &amp; Chalisya, N. (2018). RAGAM DAN POTENSI JAMUR MAKRO ASAL TAMAN WISATA </w:t>
      </w:r>
      <w:r w:rsidRPr="00291420">
        <w:rPr>
          <w:sz w:val="22"/>
          <w:lang w:val="id-ID"/>
        </w:rPr>
        <w:t xml:space="preserve">MEKARSARI JAWA BARAT. </w:t>
      </w:r>
      <w:r w:rsidRPr="00291420">
        <w:rPr>
          <w:i/>
          <w:iCs/>
          <w:sz w:val="22"/>
          <w:lang w:val="id-ID"/>
        </w:rPr>
        <w:t>Al-Kauniyah: Jurnal Biologi</w:t>
      </w:r>
      <w:r w:rsidRPr="00291420">
        <w:rPr>
          <w:sz w:val="22"/>
          <w:lang w:val="id-ID"/>
        </w:rPr>
        <w:t xml:space="preserve">, </w:t>
      </w:r>
      <w:r w:rsidRPr="00291420">
        <w:rPr>
          <w:i/>
          <w:iCs/>
          <w:sz w:val="22"/>
          <w:lang w:val="id-ID"/>
        </w:rPr>
        <w:t>11</w:t>
      </w:r>
      <w:r w:rsidRPr="00291420">
        <w:rPr>
          <w:sz w:val="22"/>
          <w:lang w:val="id-ID"/>
        </w:rPr>
        <w:t>(2), Article 2. https://doi.org/10.15408/kauniyah.v11i2.6729</w:t>
      </w:r>
    </w:p>
    <w:p w14:paraId="32EB1405" w14:textId="77777777" w:rsidR="00AF5AE6" w:rsidRPr="00291420" w:rsidRDefault="00AF5AE6" w:rsidP="00AF5AE6">
      <w:pPr>
        <w:pStyle w:val="Bibliography"/>
        <w:spacing w:line="240" w:lineRule="auto"/>
        <w:ind w:left="540" w:hanging="540"/>
        <w:jc w:val="both"/>
        <w:rPr>
          <w:sz w:val="22"/>
          <w:lang w:val="id-ID"/>
        </w:rPr>
      </w:pPr>
      <w:r w:rsidRPr="00291420">
        <w:rPr>
          <w:sz w:val="22"/>
          <w:lang w:val="id-ID"/>
        </w:rPr>
        <w:t xml:space="preserve">Roberts, P., &amp; Evans, S. (2011). </w:t>
      </w:r>
      <w:r w:rsidRPr="00291420">
        <w:rPr>
          <w:i/>
          <w:iCs/>
          <w:sz w:val="22"/>
          <w:lang w:val="id-ID"/>
        </w:rPr>
        <w:t>The book of fungi: A life-size guide to six hundred species from around the world</w:t>
      </w:r>
      <w:r w:rsidRPr="00291420">
        <w:rPr>
          <w:sz w:val="22"/>
          <w:lang w:val="id-ID"/>
        </w:rPr>
        <w:t>. The University of Chicago Press.</w:t>
      </w:r>
    </w:p>
    <w:p w14:paraId="7F6BD63C" w14:textId="77777777" w:rsidR="00AF5AE6" w:rsidRPr="00291420" w:rsidRDefault="00AF5AE6" w:rsidP="00AF5AE6">
      <w:pPr>
        <w:pStyle w:val="Bibliography"/>
        <w:spacing w:line="240" w:lineRule="auto"/>
        <w:ind w:left="540" w:hanging="540"/>
        <w:jc w:val="both"/>
        <w:rPr>
          <w:sz w:val="22"/>
          <w:lang w:val="id-ID"/>
        </w:rPr>
      </w:pPr>
      <w:r w:rsidRPr="00291420">
        <w:rPr>
          <w:sz w:val="22"/>
          <w:lang w:val="id-ID"/>
        </w:rPr>
        <w:t xml:space="preserve">Rosa, L. H., Machado, K. M. G., Jacob, C. C., Capelari, M., Rosa, C. A., &amp; Zani, C. L. (2003). Screening of Brazilian basidiomycetes for antimicrobial activity. </w:t>
      </w:r>
      <w:r w:rsidRPr="00291420">
        <w:rPr>
          <w:i/>
          <w:iCs/>
          <w:sz w:val="22"/>
          <w:lang w:val="id-ID"/>
        </w:rPr>
        <w:t>Memórias Do Instituto Oswaldo Cruz</w:t>
      </w:r>
      <w:r w:rsidRPr="00291420">
        <w:rPr>
          <w:sz w:val="22"/>
          <w:lang w:val="id-ID"/>
        </w:rPr>
        <w:t xml:space="preserve">, </w:t>
      </w:r>
      <w:r w:rsidRPr="00291420">
        <w:rPr>
          <w:i/>
          <w:iCs/>
          <w:sz w:val="22"/>
          <w:lang w:val="id-ID"/>
        </w:rPr>
        <w:t>98</w:t>
      </w:r>
      <w:r w:rsidRPr="00291420">
        <w:rPr>
          <w:sz w:val="22"/>
          <w:lang w:val="id-ID"/>
        </w:rPr>
        <w:t>(7), 967–974. https://doi.org/10.1590/S0074-02762003000700019</w:t>
      </w:r>
    </w:p>
    <w:p w14:paraId="6706B481" w14:textId="77777777" w:rsidR="00AF5AE6" w:rsidRPr="00291420" w:rsidRDefault="00AF5AE6" w:rsidP="00AF5AE6">
      <w:pPr>
        <w:pStyle w:val="Bibliography"/>
        <w:spacing w:line="240" w:lineRule="auto"/>
        <w:ind w:left="540" w:hanging="540"/>
        <w:jc w:val="both"/>
        <w:rPr>
          <w:sz w:val="22"/>
          <w:lang w:val="id-ID"/>
        </w:rPr>
      </w:pPr>
      <w:r w:rsidRPr="00291420">
        <w:rPr>
          <w:sz w:val="22"/>
          <w:lang w:val="id-ID"/>
        </w:rPr>
        <w:t xml:space="preserve">Santos-Silva, C., Gonçalves, A., &amp; Louro, R. (2011). Canopy cover influence on macrofungal richness and sporocarp production in montado ecosystems. </w:t>
      </w:r>
      <w:r w:rsidRPr="00291420">
        <w:rPr>
          <w:i/>
          <w:iCs/>
          <w:sz w:val="22"/>
          <w:lang w:val="id-ID"/>
        </w:rPr>
        <w:t>Agroforestry Systems</w:t>
      </w:r>
      <w:r w:rsidRPr="00291420">
        <w:rPr>
          <w:sz w:val="22"/>
          <w:lang w:val="id-ID"/>
        </w:rPr>
        <w:t xml:space="preserve">, </w:t>
      </w:r>
      <w:r w:rsidRPr="00291420">
        <w:rPr>
          <w:i/>
          <w:iCs/>
          <w:sz w:val="22"/>
          <w:lang w:val="id-ID"/>
        </w:rPr>
        <w:t>82</w:t>
      </w:r>
      <w:r w:rsidRPr="00291420">
        <w:rPr>
          <w:sz w:val="22"/>
          <w:lang w:val="id-ID"/>
        </w:rPr>
        <w:t>(2), 149–159. https://doi.org/10.1007/s10457-011-9374-7</w:t>
      </w:r>
    </w:p>
    <w:p w14:paraId="0747AAAF" w14:textId="77777777" w:rsidR="00AF5AE6" w:rsidRPr="00291420" w:rsidRDefault="00AF5AE6" w:rsidP="00AF5AE6">
      <w:pPr>
        <w:pStyle w:val="Bibliography"/>
        <w:spacing w:line="240" w:lineRule="auto"/>
        <w:ind w:left="540" w:hanging="540"/>
        <w:jc w:val="both"/>
        <w:rPr>
          <w:sz w:val="22"/>
          <w:lang w:val="id-ID"/>
        </w:rPr>
      </w:pPr>
      <w:r w:rsidRPr="00291420">
        <w:rPr>
          <w:sz w:val="22"/>
          <w:lang w:val="id-ID"/>
        </w:rPr>
        <w:t xml:space="preserve">Sliva, D. (2010). Medicinal mushroom Phellinus linteus as an alternative cancer therapy. </w:t>
      </w:r>
      <w:r w:rsidRPr="00291420">
        <w:rPr>
          <w:i/>
          <w:iCs/>
          <w:sz w:val="22"/>
          <w:lang w:val="id-ID"/>
        </w:rPr>
        <w:t>Experimental and Therapeutic Medicine</w:t>
      </w:r>
      <w:r w:rsidRPr="00291420">
        <w:rPr>
          <w:sz w:val="22"/>
          <w:lang w:val="id-ID"/>
        </w:rPr>
        <w:t xml:space="preserve">, </w:t>
      </w:r>
      <w:r w:rsidRPr="00291420">
        <w:rPr>
          <w:i/>
          <w:iCs/>
          <w:sz w:val="22"/>
          <w:lang w:val="id-ID"/>
        </w:rPr>
        <w:t>1</w:t>
      </w:r>
      <w:r w:rsidRPr="00291420">
        <w:rPr>
          <w:sz w:val="22"/>
          <w:lang w:val="id-ID"/>
        </w:rPr>
        <w:t>(3), 407–411. https://doi.org/10.3892/etm_00000063</w:t>
      </w:r>
    </w:p>
    <w:p w14:paraId="6231F1B5" w14:textId="2EBBE222" w:rsidR="00FA47B6" w:rsidRPr="00291420" w:rsidRDefault="00AF5AE6" w:rsidP="00FA47B6">
      <w:pPr>
        <w:pStyle w:val="Bibliography"/>
        <w:spacing w:line="240" w:lineRule="auto"/>
        <w:ind w:left="540" w:hanging="540"/>
        <w:jc w:val="both"/>
        <w:rPr>
          <w:sz w:val="22"/>
          <w:lang w:val="id-ID"/>
        </w:rPr>
      </w:pPr>
      <w:r w:rsidRPr="00291420">
        <w:rPr>
          <w:sz w:val="22"/>
          <w:lang w:val="id-ID"/>
        </w:rPr>
        <w:t xml:space="preserve">Trudell, S. A., &amp; Edmonds, R. L. (2004). Macrofungus communities correlate with moisture and nitrogen abundance in two old-growth conifer forests, Olympic National Park, Washington, USA. </w:t>
      </w:r>
      <w:r w:rsidRPr="00291420">
        <w:rPr>
          <w:i/>
          <w:iCs/>
          <w:sz w:val="22"/>
          <w:lang w:val="id-ID"/>
        </w:rPr>
        <w:t>Canadian Journal of Botany</w:t>
      </w:r>
      <w:r w:rsidRPr="00291420">
        <w:rPr>
          <w:sz w:val="22"/>
          <w:lang w:val="id-ID"/>
        </w:rPr>
        <w:t xml:space="preserve">, </w:t>
      </w:r>
      <w:r w:rsidRPr="00291420">
        <w:rPr>
          <w:i/>
          <w:iCs/>
          <w:sz w:val="22"/>
          <w:lang w:val="id-ID"/>
        </w:rPr>
        <w:t>82</w:t>
      </w:r>
      <w:r w:rsidRPr="00291420">
        <w:rPr>
          <w:sz w:val="22"/>
          <w:lang w:val="id-ID"/>
        </w:rPr>
        <w:t xml:space="preserve">(6), 781–800. </w:t>
      </w:r>
      <w:hyperlink r:id="rId20" w:history="1">
        <w:r w:rsidR="00FA47B6" w:rsidRPr="00291420">
          <w:rPr>
            <w:rStyle w:val="Hyperlink"/>
            <w:color w:val="auto"/>
            <w:sz w:val="22"/>
            <w:u w:val="none"/>
            <w:lang w:val="id-ID"/>
          </w:rPr>
          <w:t>https://doi.org/10.1139/b04-057</w:t>
        </w:r>
      </w:hyperlink>
    </w:p>
    <w:p w14:paraId="7BF2D595" w14:textId="015D5617" w:rsidR="00291420" w:rsidRDefault="00AF5AE6" w:rsidP="00291420">
      <w:pPr>
        <w:pStyle w:val="Bibliography"/>
        <w:spacing w:line="240" w:lineRule="auto"/>
        <w:ind w:left="540" w:hanging="540"/>
        <w:jc w:val="both"/>
        <w:rPr>
          <w:lang w:val="id-ID"/>
        </w:rPr>
      </w:pPr>
      <w:r w:rsidRPr="00291420">
        <w:rPr>
          <w:sz w:val="22"/>
          <w:lang w:val="id-ID"/>
        </w:rPr>
        <w:t>Yusran, Y., Erniwati, E., Wahyuni, D., Ramadhanil, R., &amp; Khumaidi, A. (2020). Diversity of macro fungus across three altitudinal ranges in Lore Lindu National Park, Central Sulawesi, Indonesia and their utilization by local residents</w:t>
      </w:r>
      <w:r w:rsidRPr="00781948">
        <w:rPr>
          <w:sz w:val="22"/>
          <w:lang w:val="id-ID"/>
        </w:rPr>
        <w:t xml:space="preserve">. </w:t>
      </w:r>
      <w:r w:rsidRPr="00781948">
        <w:rPr>
          <w:i/>
          <w:iCs/>
          <w:sz w:val="22"/>
          <w:lang w:val="id-ID"/>
        </w:rPr>
        <w:t>Biodiversitas Journal of Biological Diversity</w:t>
      </w:r>
      <w:r w:rsidRPr="00781948">
        <w:rPr>
          <w:sz w:val="22"/>
          <w:lang w:val="id-ID"/>
        </w:rPr>
        <w:t xml:space="preserve">, </w:t>
      </w:r>
      <w:r w:rsidRPr="00781948">
        <w:rPr>
          <w:i/>
          <w:iCs/>
          <w:sz w:val="22"/>
          <w:lang w:val="id-ID"/>
        </w:rPr>
        <w:t>22</w:t>
      </w:r>
      <w:r w:rsidRPr="00781948">
        <w:rPr>
          <w:sz w:val="22"/>
          <w:lang w:val="id-ID"/>
        </w:rPr>
        <w:t xml:space="preserve">(1), Article </w:t>
      </w:r>
      <w:r w:rsidRPr="006D5044">
        <w:rPr>
          <w:sz w:val="22"/>
          <w:lang w:val="id-ID"/>
        </w:rPr>
        <w:t xml:space="preserve">1. </w:t>
      </w:r>
      <w:hyperlink r:id="rId21" w:history="1">
        <w:r w:rsidR="00291420" w:rsidRPr="006D5044">
          <w:rPr>
            <w:rStyle w:val="Hyperlink"/>
            <w:color w:val="auto"/>
            <w:sz w:val="22"/>
            <w:u w:val="none"/>
            <w:lang w:val="id-ID"/>
          </w:rPr>
          <w:t>https://doi.org/10.13057/biodiv/d22012</w:t>
        </w:r>
        <w:r w:rsidR="00291420" w:rsidRPr="006D5044">
          <w:rPr>
            <w:rStyle w:val="Hyperlink"/>
            <w:color w:val="auto"/>
            <w:sz w:val="22"/>
            <w:u w:val="none"/>
            <w:lang w:val="id-ID"/>
          </w:rPr>
          <w:t>6</w:t>
        </w:r>
      </w:hyperlink>
    </w:p>
    <w:p w14:paraId="640D65F2" w14:textId="77777777" w:rsidR="00291420" w:rsidRDefault="00291420" w:rsidP="00291420">
      <w:pPr>
        <w:rPr>
          <w:lang w:val="id-ID"/>
        </w:rPr>
        <w:sectPr w:rsidR="00291420" w:rsidSect="00291420">
          <w:type w:val="continuous"/>
          <w:pgSz w:w="11894" w:h="16157" w:code="9"/>
          <w:pgMar w:top="1440" w:right="1440" w:bottom="1440" w:left="1440" w:header="851" w:footer="941" w:gutter="0"/>
          <w:cols w:num="2" w:space="432"/>
          <w:docGrid w:linePitch="360"/>
        </w:sectPr>
      </w:pPr>
    </w:p>
    <w:p w14:paraId="38099E5F" w14:textId="77777777" w:rsidR="00291420" w:rsidRPr="00291420" w:rsidRDefault="00291420" w:rsidP="00291420">
      <w:pPr>
        <w:rPr>
          <w:lang w:val="id-ID"/>
        </w:rPr>
      </w:pPr>
    </w:p>
    <w:sectPr w:rsidR="00291420" w:rsidRPr="00291420">
      <w:type w:val="continuous"/>
      <w:pgSz w:w="11894" w:h="16157" w:code="9"/>
      <w:pgMar w:top="1440" w:right="1440" w:bottom="1440" w:left="1440" w:header="851" w:footer="941" w:gutter="0"/>
      <w:cols w:num="2" w:space="43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0AC3" w14:textId="77777777" w:rsidR="00B16395" w:rsidRDefault="00B16395">
      <w:r>
        <w:separator/>
      </w:r>
    </w:p>
  </w:endnote>
  <w:endnote w:type="continuationSeparator" w:id="0">
    <w:p w14:paraId="76BEE775" w14:textId="77777777" w:rsidR="00B16395" w:rsidRDefault="00B1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ヒラギノ角ゴ Pro W3">
    <w:altName w:val="Times New Roman"/>
    <w:panose1 w:val="00000000000000000000"/>
    <w:charset w:val="80"/>
    <w:family w:val="roman"/>
    <w:notTrueType/>
    <w:pitch w:val="default"/>
  </w:font>
  <w:font w:name="Times New Roman Bold">
    <w:panose1 w:val="02020803070505020304"/>
    <w:charset w:val="00"/>
    <w:family w:val="roman"/>
    <w:notTrueType/>
    <w:pitch w:val="default"/>
  </w:font>
  <w:font w:name="Times New Roman Bold Italic">
    <w:panose1 w:val="0202070306050509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00"/>
    <w:family w:val="auto"/>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37097"/>
      <w:docPartObj>
        <w:docPartGallery w:val="Page Numbers (Bottom of Page)"/>
        <w:docPartUnique/>
      </w:docPartObj>
    </w:sdtPr>
    <w:sdtEndPr>
      <w:rPr>
        <w:noProof/>
        <w:sz w:val="16"/>
        <w:szCs w:val="16"/>
      </w:rPr>
    </w:sdtEndPr>
    <w:sdtContent>
      <w:p w14:paraId="73BA9FAD" w14:textId="4B0FB5FA" w:rsidR="00ED090B" w:rsidRPr="00696F48" w:rsidRDefault="00696F48" w:rsidP="00696F48">
        <w:pPr>
          <w:pStyle w:val="Footer"/>
          <w:jc w:val="center"/>
          <w:rPr>
            <w:sz w:val="16"/>
            <w:szCs w:val="16"/>
          </w:rPr>
        </w:pPr>
        <w:r w:rsidRPr="00696F48">
          <w:rPr>
            <w:sz w:val="16"/>
            <w:szCs w:val="16"/>
          </w:rPr>
          <w:fldChar w:fldCharType="begin"/>
        </w:r>
        <w:r w:rsidRPr="00696F48">
          <w:rPr>
            <w:sz w:val="16"/>
            <w:szCs w:val="16"/>
          </w:rPr>
          <w:instrText xml:space="preserve"> PAGE   \* MERGEFORMAT </w:instrText>
        </w:r>
        <w:r w:rsidRPr="00696F48">
          <w:rPr>
            <w:sz w:val="16"/>
            <w:szCs w:val="16"/>
          </w:rPr>
          <w:fldChar w:fldCharType="separate"/>
        </w:r>
        <w:r w:rsidRPr="00696F48">
          <w:rPr>
            <w:noProof/>
            <w:sz w:val="16"/>
            <w:szCs w:val="16"/>
          </w:rPr>
          <w:t>2</w:t>
        </w:r>
        <w:r w:rsidRPr="00696F48">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72B6" w14:textId="3D58C8D3" w:rsidR="00C666AF" w:rsidRDefault="00000000">
    <w:pPr>
      <w:pStyle w:val="Footer"/>
      <w:tabs>
        <w:tab w:val="left" w:pos="2880"/>
      </w:tabs>
      <w:ind w:left="2552"/>
      <w:jc w:val="right"/>
    </w:pPr>
    <w:r>
      <w:rPr>
        <w:noProof/>
      </w:rPr>
      <mc:AlternateContent>
        <mc:Choice Requires="wps">
          <w:drawing>
            <wp:anchor distT="0" distB="0" distL="0" distR="0" simplePos="0" relativeHeight="3" behindDoc="0" locked="0" layoutInCell="1" allowOverlap="1" wp14:anchorId="4D0906BE" wp14:editId="6E548BF3">
              <wp:simplePos x="0" y="0"/>
              <wp:positionH relativeFrom="column">
                <wp:posOffset>-93980</wp:posOffset>
              </wp:positionH>
              <wp:positionV relativeFrom="paragraph">
                <wp:posOffset>-83185</wp:posOffset>
              </wp:positionV>
              <wp:extent cx="3152775" cy="387985"/>
              <wp:effectExtent l="0" t="0" r="9525" b="0"/>
              <wp:wrapNone/>
              <wp:docPr id="409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387985"/>
                      </a:xfrm>
                      <a:prstGeom prst="rect">
                        <a:avLst/>
                      </a:prstGeom>
                      <a:solidFill>
                        <a:srgbClr val="FFFFFF"/>
                      </a:solidFill>
                      <a:ln>
                        <a:noFill/>
                      </a:ln>
                    </wps:spPr>
                    <wps:txbx>
                      <w:txbxContent>
                        <w:p w14:paraId="4E1A0561" w14:textId="77777777" w:rsidR="00C666AF" w:rsidRDefault="00000000">
                          <w:pPr>
                            <w:tabs>
                              <w:tab w:val="right" w:pos="8640"/>
                            </w:tabs>
                            <w:rPr>
                              <w:rFonts w:ascii="Book Antiqua" w:hAnsi="Book Antiqua"/>
                              <w:color w:val="002060"/>
                              <w:sz w:val="16"/>
                              <w:szCs w:val="16"/>
                            </w:rPr>
                          </w:pPr>
                          <w:r>
                            <w:rPr>
                              <w:rFonts w:ascii="Book Antiqua" w:hAnsi="Book Antiqua"/>
                              <w:color w:val="002060"/>
                              <w:sz w:val="16"/>
                              <w:szCs w:val="16"/>
                            </w:rPr>
                            <w:t>This article is licensed under a </w:t>
                          </w:r>
                          <w:hyperlink r:id="rId1" w:history="1">
                            <w:r w:rsidR="00C666AF">
                              <w:rPr>
                                <w:rStyle w:val="Hyperlink"/>
                                <w:rFonts w:ascii="Book Antiqua" w:hAnsi="Book Antiqua"/>
                                <w:sz w:val="16"/>
                                <w:szCs w:val="16"/>
                              </w:rPr>
                              <w:t>Creative Commons Attribution 4.0 International License</w:t>
                            </w:r>
                          </w:hyperlink>
                          <w:r>
                            <w:rPr>
                              <w:rFonts w:ascii="Book Antiqua" w:hAnsi="Book Antiqua"/>
                              <w:color w:val="002060"/>
                              <w:sz w:val="16"/>
                              <w:szCs w:val="16"/>
                            </w:rPr>
                            <w:t>.</w:t>
                          </w:r>
                        </w:p>
                      </w:txbxContent>
                    </wps:txbx>
                    <wps:bodyPr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0906BE" id="Rectangle 10" o:spid="_x0000_s1027" style="position:absolute;left:0;text-align:left;margin-left:-7.4pt;margin-top:-6.55pt;width:248.25pt;height:30.5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" stroked="f">
              <v:textbox>
                <w:txbxContent>
                  <w:p w14:paraId="4E1A0561" w14:textId="77777777" w:rsidR="00C666AF" w:rsidRDefault="00000000">
                    <w:pPr>
                      <w:tabs>
                        <w:tab w:val="right" w:pos="8640"/>
                      </w:tabs>
                      <w:rPr>
                        <w:rFonts w:ascii="Book Antiqua" w:hAnsi="Book Antiqua"/>
                        <w:color w:val="002060"/>
                        <w:sz w:val="16"/>
                        <w:szCs w:val="16"/>
                      </w:rPr>
                    </w:pPr>
                    <w:r>
                      <w:rPr>
                        <w:rFonts w:ascii="Book Antiqua" w:hAnsi="Book Antiqua"/>
                        <w:color w:val="002060"/>
                        <w:sz w:val="16"/>
                        <w:szCs w:val="16"/>
                      </w:rPr>
                      <w:t>This article is licensed under a </w:t>
                    </w:r>
                    <w:hyperlink r:id="rId2" w:history="1">
                      <w:r w:rsidR="00C666AF">
                        <w:rPr>
                          <w:rStyle w:val="Hyperlink"/>
                          <w:rFonts w:ascii="Book Antiqua" w:hAnsi="Book Antiqua"/>
                          <w:sz w:val="16"/>
                          <w:szCs w:val="16"/>
                        </w:rPr>
                        <w:t>Creative Commons Attribution 4.0 International License</w:t>
                      </w:r>
                    </w:hyperlink>
                    <w:r>
                      <w:rPr>
                        <w:rFonts w:ascii="Book Antiqua" w:hAnsi="Book Antiqua"/>
                        <w:color w:val="002060"/>
                        <w:sz w:val="16"/>
                        <w:szCs w:val="16"/>
                      </w:rPr>
                      <w:t>.</w:t>
                    </w:r>
                  </w:p>
                </w:txbxContent>
              </v:textbox>
            </v:rect>
          </w:pict>
        </mc:Fallback>
      </mc:AlternateContent>
    </w:r>
    <w:r>
      <w:rPr>
        <w:sz w:val="16"/>
      </w:rPr>
      <w:t>© 20</w:t>
    </w:r>
    <w:r w:rsidR="00F1618F">
      <w:rPr>
        <w:sz w:val="16"/>
      </w:rPr>
      <w:t>25</w:t>
    </w:r>
    <w:r>
      <w:rPr>
        <w:sz w:val="16"/>
      </w:rPr>
      <w:t xml:space="preserve"> The Author(s). This article is open access</w:t>
    </w:r>
  </w:p>
  <w:p w14:paraId="574D2A56" w14:textId="77777777" w:rsidR="00C666AF" w:rsidRDefault="00C6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1260" w14:textId="77777777" w:rsidR="00B16395" w:rsidRDefault="00B16395">
      <w:r>
        <w:separator/>
      </w:r>
    </w:p>
  </w:footnote>
  <w:footnote w:type="continuationSeparator" w:id="0">
    <w:p w14:paraId="7EDD9D17" w14:textId="77777777" w:rsidR="00B16395" w:rsidRDefault="00B1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67B0" w14:textId="6B864E1C" w:rsidR="00ED090B" w:rsidRPr="00F1128C" w:rsidRDefault="00ED090B" w:rsidP="00ED090B">
    <w:pPr>
      <w:pStyle w:val="Header"/>
      <w:rPr>
        <w:b/>
        <w:bCs/>
        <w:sz w:val="16"/>
        <w:szCs w:val="16"/>
        <w:lang w:val="id-ID"/>
      </w:rPr>
    </w:pPr>
    <w:bookmarkStart w:id="0" w:name="_Hlk149677610"/>
    <w:bookmarkStart w:id="1" w:name="_Hlk149677611"/>
    <w:bookmarkStart w:id="2" w:name="_Hlk149679760"/>
    <w:bookmarkStart w:id="3" w:name="_Hlk149679761"/>
    <w:bookmarkStart w:id="4" w:name="_Hlk149680472"/>
    <w:bookmarkStart w:id="5" w:name="_Hlk149680473"/>
    <w:bookmarkStart w:id="6" w:name="_Hlk149681006"/>
    <w:bookmarkStart w:id="7" w:name="_Hlk149681007"/>
    <w:bookmarkStart w:id="8" w:name="_Hlk149682151"/>
    <w:bookmarkStart w:id="9" w:name="_Hlk149682152"/>
    <w:bookmarkStart w:id="10" w:name="_Hlk149683077"/>
    <w:bookmarkStart w:id="11" w:name="_Hlk149683078"/>
    <w:bookmarkStart w:id="12" w:name="_Hlk156633493"/>
    <w:bookmarkStart w:id="13" w:name="_Hlk156633494"/>
    <w:bookmarkStart w:id="14" w:name="_Hlk159445769"/>
    <w:bookmarkStart w:id="15" w:name="_Hlk159445770"/>
    <w:bookmarkStart w:id="16" w:name="_Hlk168582565"/>
    <w:bookmarkStart w:id="17" w:name="_Hlk168582566"/>
    <w:bookmarkStart w:id="18" w:name="_Hlk171357600"/>
    <w:bookmarkStart w:id="19" w:name="_Hlk171357601"/>
    <w:bookmarkStart w:id="20" w:name="_Hlk173478870"/>
    <w:bookmarkStart w:id="21" w:name="_Hlk173478871"/>
    <w:bookmarkStart w:id="22" w:name="_Hlk173482907"/>
    <w:bookmarkStart w:id="23" w:name="_Hlk173482908"/>
    <w:bookmarkStart w:id="24" w:name="_Hlk178664624"/>
    <w:bookmarkStart w:id="25" w:name="_Hlk178664625"/>
    <w:bookmarkStart w:id="26" w:name="_Hlk178665674"/>
    <w:bookmarkStart w:id="27" w:name="_Hlk178665675"/>
    <w:bookmarkStart w:id="28" w:name="_Hlk178829591"/>
    <w:bookmarkStart w:id="29" w:name="_Hlk178829592"/>
    <w:bookmarkStart w:id="30" w:name="_Hlk178829745"/>
    <w:bookmarkStart w:id="31" w:name="_Hlk178829746"/>
    <w:bookmarkStart w:id="32" w:name="_Hlk178829936"/>
    <w:bookmarkStart w:id="33" w:name="_Hlk178829937"/>
    <w:bookmarkStart w:id="34" w:name="_Hlk178857304"/>
    <w:bookmarkStart w:id="35" w:name="_Hlk178857305"/>
    <w:bookmarkStart w:id="36" w:name="_Hlk178872789"/>
    <w:bookmarkStart w:id="37" w:name="_Hlk178872790"/>
    <w:bookmarkStart w:id="38" w:name="_Hlk178913078"/>
    <w:bookmarkStart w:id="39" w:name="_Hlk178913079"/>
    <w:bookmarkStart w:id="40" w:name="_Hlk184022783"/>
    <w:bookmarkStart w:id="41" w:name="_Hlk184022784"/>
    <w:bookmarkStart w:id="42" w:name="_Hlk184022907"/>
    <w:bookmarkStart w:id="43" w:name="_Hlk184022908"/>
    <w:bookmarkStart w:id="44" w:name="_Hlk185174194"/>
    <w:bookmarkStart w:id="45" w:name="_Hlk185174195"/>
    <w:bookmarkStart w:id="46" w:name="_Hlk185183938"/>
    <w:bookmarkStart w:id="47" w:name="_Hlk185183939"/>
    <w:bookmarkStart w:id="48" w:name="_Hlk185250694"/>
    <w:bookmarkStart w:id="49" w:name="_Hlk185250695"/>
    <w:bookmarkStart w:id="50" w:name="_Hlk185251725"/>
    <w:bookmarkStart w:id="51" w:name="_Hlk185251726"/>
    <w:bookmarkStart w:id="52" w:name="_Hlk185253343"/>
    <w:bookmarkStart w:id="53" w:name="_Hlk185253344"/>
    <w:r>
      <w:rPr>
        <w:b/>
        <w:bCs/>
        <w:sz w:val="16"/>
        <w:szCs w:val="16"/>
        <w:lang w:val="id-ID"/>
      </w:rPr>
      <w:t>Sulastri</w:t>
    </w:r>
    <w:r>
      <w:rPr>
        <w:b/>
        <w:bCs/>
        <w:sz w:val="16"/>
        <w:szCs w:val="16"/>
        <w:lang w:val="id-ID"/>
      </w:rPr>
      <w:t xml:space="preserve"> </w:t>
    </w:r>
    <w:r>
      <w:rPr>
        <w:i/>
        <w:iCs/>
        <w:sz w:val="16"/>
        <w:szCs w:val="16"/>
        <w:lang w:val="id-ID"/>
      </w:rPr>
      <w:t>et al.</w:t>
    </w:r>
    <w:r w:rsidRPr="00F1128C">
      <w:rPr>
        <w:i/>
        <w:iCs/>
        <w:sz w:val="16"/>
        <w:szCs w:val="16"/>
        <w:lang w:val="id-ID"/>
      </w:rPr>
      <w:t>,</w:t>
    </w:r>
    <w:r w:rsidRPr="00F1128C">
      <w:rPr>
        <w:sz w:val="16"/>
        <w:szCs w:val="16"/>
      </w:rPr>
      <w:t xml:space="preserve"> </w:t>
    </w:r>
    <w:r w:rsidRPr="00F1128C">
      <w:rPr>
        <w:bCs/>
        <w:sz w:val="16"/>
        <w:szCs w:val="16"/>
      </w:rPr>
      <w:t>(2025).</w:t>
    </w:r>
    <w:r w:rsidRPr="00F1128C">
      <w:rPr>
        <w:b/>
        <w:bCs/>
        <w:sz w:val="16"/>
        <w:szCs w:val="16"/>
      </w:rPr>
      <w:t xml:space="preserve"> Jurnal Biologi Tropis</w:t>
    </w:r>
    <w:r w:rsidRPr="00F1128C">
      <w:rPr>
        <w:b/>
        <w:bCs/>
        <w:i/>
        <w:iCs/>
        <w:sz w:val="16"/>
        <w:szCs w:val="16"/>
      </w:rPr>
      <w:t>,</w:t>
    </w:r>
    <w:r w:rsidRPr="00F1128C">
      <w:rPr>
        <w:b/>
        <w:bCs/>
        <w:sz w:val="16"/>
        <w:szCs w:val="16"/>
      </w:rPr>
      <w:t xml:space="preserve"> </w:t>
    </w:r>
    <w:r w:rsidRPr="00F1128C">
      <w:rPr>
        <w:sz w:val="16"/>
        <w:szCs w:val="16"/>
      </w:rPr>
      <w:t>2</w:t>
    </w:r>
    <w:r w:rsidRPr="00F1128C">
      <w:rPr>
        <w:sz w:val="16"/>
        <w:szCs w:val="16"/>
        <w:lang w:val="id-ID"/>
      </w:rPr>
      <w:t xml:space="preserve">5 </w:t>
    </w:r>
    <w:r w:rsidRPr="00F1128C">
      <w:rPr>
        <w:sz w:val="16"/>
        <w:szCs w:val="16"/>
      </w:rPr>
      <w:t xml:space="preserve">(2): </w:t>
    </w:r>
    <w:r w:rsidR="00696F48">
      <w:rPr>
        <w:sz w:val="16"/>
        <w:szCs w:val="16"/>
      </w:rPr>
      <w:t>1440</w:t>
    </w:r>
    <w:r w:rsidRPr="00F1128C">
      <w:rPr>
        <w:sz w:val="16"/>
        <w:szCs w:val="16"/>
      </w:rPr>
      <w:t xml:space="preserve"> –</w:t>
    </w:r>
    <w:r w:rsidRPr="00F1128C">
      <w:rPr>
        <w:sz w:val="16"/>
        <w:szCs w:val="16"/>
        <w:lang w:val="id-ID"/>
      </w:rPr>
      <w:t xml:space="preserve"> 1</w:t>
    </w:r>
    <w:r w:rsidR="00696F48">
      <w:rPr>
        <w:sz w:val="16"/>
        <w:szCs w:val="16"/>
        <w:lang w:val="id-ID"/>
      </w:rPr>
      <w:t>445</w:t>
    </w:r>
  </w:p>
  <w:p w14:paraId="090E7341" w14:textId="55D12C7D" w:rsidR="00ED090B" w:rsidRDefault="00ED090B" w:rsidP="00ED090B">
    <w:pPr>
      <w:pStyle w:val="Header"/>
      <w:rPr>
        <w:b/>
        <w:bCs/>
        <w:sz w:val="16"/>
        <w:szCs w:val="16"/>
      </w:rPr>
    </w:pPr>
    <w:r w:rsidRPr="00F1128C">
      <w:rPr>
        <w:noProof/>
        <w:sz w:val="16"/>
        <w:szCs w:val="16"/>
      </w:rPr>
      <mc:AlternateContent>
        <mc:Choice Requires="wps">
          <w:drawing>
            <wp:anchor distT="4294967292" distB="4294967292" distL="114300" distR="114300" simplePos="0" relativeHeight="251659264" behindDoc="0" locked="0" layoutInCell="1" allowOverlap="1" wp14:anchorId="59A479E4" wp14:editId="15E5119C">
              <wp:simplePos x="0" y="0"/>
              <wp:positionH relativeFrom="column">
                <wp:posOffset>15240</wp:posOffset>
              </wp:positionH>
              <wp:positionV relativeFrom="paragraph">
                <wp:posOffset>234315</wp:posOffset>
              </wp:positionV>
              <wp:extent cx="5648325" cy="0"/>
              <wp:effectExtent l="38100" t="38100" r="66675" b="95250"/>
              <wp:wrapNone/>
              <wp:docPr id="447468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D8C4339"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" strokecolor="windowText" strokeweight="1.25pt">
              <v:shadow on="t" color="black" opacity="24903f" origin=",.5" offset="0,.55556mm"/>
              <o:lock v:ext="edit" shapetype="f"/>
            </v:line>
          </w:pict>
        </mc:Fallback>
      </mc:AlternateContent>
    </w:r>
    <w:r w:rsidRPr="00F1128C">
      <w:rPr>
        <w:b/>
        <w:bCs/>
        <w:sz w:val="16"/>
        <w:szCs w:val="16"/>
        <w:lang w:val="en-ID"/>
      </w:rPr>
      <w:t xml:space="preserve">DOI: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696F48">
      <w:rPr>
        <w:b/>
        <w:bCs/>
        <w:sz w:val="16"/>
        <w:szCs w:val="16"/>
      </w:rPr>
      <w:fldChar w:fldCharType="begin"/>
    </w:r>
    <w:r w:rsidR="00696F48">
      <w:rPr>
        <w:b/>
        <w:bCs/>
        <w:sz w:val="16"/>
        <w:szCs w:val="16"/>
      </w:rPr>
      <w:instrText>HYPERLINK "</w:instrText>
    </w:r>
    <w:r w:rsidR="00696F48" w:rsidRPr="00696F48">
      <w:rPr>
        <w:b/>
        <w:bCs/>
        <w:sz w:val="16"/>
        <w:szCs w:val="16"/>
      </w:rPr>
      <w:instrText>http://doi.org/10.29303/jbt.v2</w:instrText>
    </w:r>
    <w:r w:rsidR="00696F48" w:rsidRPr="00696F48">
      <w:rPr>
        <w:b/>
        <w:bCs/>
        <w:sz w:val="16"/>
        <w:szCs w:val="16"/>
        <w:lang w:val="id-ID"/>
      </w:rPr>
      <w:instrText>5</w:instrText>
    </w:r>
    <w:r w:rsidR="00696F48" w:rsidRPr="00696F48">
      <w:rPr>
        <w:b/>
        <w:bCs/>
        <w:sz w:val="16"/>
        <w:szCs w:val="16"/>
      </w:rPr>
      <w:instrText>i2.86</w:instrText>
    </w:r>
    <w:r w:rsidR="00696F48" w:rsidRPr="00696F48">
      <w:rPr>
        <w:b/>
        <w:bCs/>
        <w:sz w:val="16"/>
        <w:szCs w:val="16"/>
      </w:rPr>
      <w:instrText>99</w:instrText>
    </w:r>
    <w:r w:rsidR="00696F48">
      <w:rPr>
        <w:b/>
        <w:bCs/>
        <w:sz w:val="16"/>
        <w:szCs w:val="16"/>
      </w:rPr>
      <w:instrText>"</w:instrText>
    </w:r>
    <w:r w:rsidR="00696F48">
      <w:rPr>
        <w:b/>
        <w:bCs/>
        <w:sz w:val="16"/>
        <w:szCs w:val="16"/>
      </w:rPr>
      <w:fldChar w:fldCharType="separate"/>
    </w:r>
    <w:r w:rsidR="00696F48" w:rsidRPr="00DA45B7">
      <w:rPr>
        <w:rStyle w:val="Hyperlink"/>
        <w:b/>
        <w:bCs/>
        <w:sz w:val="16"/>
        <w:szCs w:val="16"/>
      </w:rPr>
      <w:t>http://doi.org/10.29303/jbt.v2</w:t>
    </w:r>
    <w:r w:rsidR="00696F48" w:rsidRPr="00DA45B7">
      <w:rPr>
        <w:rStyle w:val="Hyperlink"/>
        <w:b/>
        <w:bCs/>
        <w:sz w:val="16"/>
        <w:szCs w:val="16"/>
        <w:lang w:val="id-ID"/>
      </w:rPr>
      <w:t>5</w:t>
    </w:r>
    <w:r w:rsidR="00696F48" w:rsidRPr="00DA45B7">
      <w:rPr>
        <w:rStyle w:val="Hyperlink"/>
        <w:b/>
        <w:bCs/>
        <w:sz w:val="16"/>
        <w:szCs w:val="16"/>
      </w:rPr>
      <w:t>i2.86</w:t>
    </w:r>
    <w:r w:rsidR="00696F48" w:rsidRPr="00DA45B7">
      <w:rPr>
        <w:rStyle w:val="Hyperlink"/>
        <w:b/>
        <w:bCs/>
        <w:sz w:val="16"/>
        <w:szCs w:val="16"/>
      </w:rPr>
      <w:t>99</w:t>
    </w:r>
    <w:r w:rsidR="00696F48">
      <w:rPr>
        <w:b/>
        <w:bCs/>
        <w:sz w:val="16"/>
        <w:szCs w:val="16"/>
      </w:rPr>
      <w:fldChar w:fldCharType="end"/>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0A682D74" w14:textId="77777777" w:rsidR="00ED090B" w:rsidRPr="00F1128C" w:rsidRDefault="00ED090B" w:rsidP="00ED090B">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D6FC" w14:textId="77777777" w:rsidR="00C666AF" w:rsidRDefault="00000000">
    <w:pPr>
      <w:pStyle w:val="Header"/>
      <w:tabs>
        <w:tab w:val="left" w:pos="7566"/>
        <w:tab w:val="right" w:pos="9020"/>
      </w:tabs>
    </w:pPr>
    <w:r>
      <w:rPr>
        <w:noProof/>
      </w:rPr>
      <mc:AlternateContent>
        <mc:Choice Requires="wps">
          <w:drawing>
            <wp:anchor distT="0" distB="0" distL="0" distR="0" simplePos="0" relativeHeight="2" behindDoc="0" locked="0" layoutInCell="1" allowOverlap="1" wp14:anchorId="5D3AC249" wp14:editId="323C43FD">
              <wp:simplePos x="0" y="0"/>
              <wp:positionH relativeFrom="column">
                <wp:posOffset>0</wp:posOffset>
              </wp:positionH>
              <wp:positionV relativeFrom="paragraph">
                <wp:posOffset>-113665</wp:posOffset>
              </wp:positionV>
              <wp:extent cx="6098540" cy="457200"/>
              <wp:effectExtent l="0" t="0" r="0" b="0"/>
              <wp:wrapNone/>
              <wp:docPr id="40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8540" cy="457200"/>
                      </a:xfrm>
                      <a:prstGeom prst="rect">
                        <a:avLst/>
                      </a:prstGeom>
                      <a:solidFill>
                        <a:srgbClr val="1F497D"/>
                      </a:solidFill>
                      <a:ln>
                        <a:noFill/>
                      </a:ln>
                    </wps:spPr>
                    <wps:txbx>
                      <w:txbxContent>
                        <w:p w14:paraId="40568AA3" w14:textId="77777777" w:rsidR="00C666AF" w:rsidRDefault="00000000">
                          <w:pPr>
                            <w:ind w:right="136"/>
                            <w:jc w:val="right"/>
                            <w:rPr>
                              <w:i/>
                              <w:color w:val="FFFFFF"/>
                            </w:rPr>
                          </w:pPr>
                          <w:r>
                            <w:rPr>
                              <w:i/>
                              <w:color w:val="FFFFFF"/>
                              <w:sz w:val="28"/>
                            </w:rPr>
                            <w:t>Jurnal Biologi Tropis</w:t>
                          </w:r>
                        </w:p>
                      </w:txbxContent>
                    </wps:txbx>
                    <wps:bodyPr vert="horz" wrap="square" lIns="91440" tIns="45720" rIns="91440" bIns="45720" anchor="ctr"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AC249" id="Rectangle 4" o:spid="_x0000_s1026" style="position:absolute;margin-left:0;margin-top:-8.95pt;width:480.2pt;height:36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" fillcolor="#1f497d" stroked="f">
              <v:textbox>
                <w:txbxContent>
                  <w:p w14:paraId="40568AA3" w14:textId="77777777" w:rsidR="00C666AF" w:rsidRDefault="00000000">
                    <w:pPr>
                      <w:ind w:right="136"/>
                      <w:jc w:val="right"/>
                      <w:rPr>
                        <w:i/>
                        <w:color w:val="FFFFFF"/>
                      </w:rPr>
                    </w:pPr>
                    <w:r>
                      <w:rPr>
                        <w:i/>
                        <w:color w:val="FFFFFF"/>
                        <w:sz w:val="28"/>
                      </w:rPr>
                      <w:t>Jurnal Biologi Tropis</w:t>
                    </w:r>
                  </w:p>
                </w:txbxContent>
              </v:textbox>
            </v:rect>
          </w:pict>
        </mc:Fallback>
      </mc:AlternateContent>
    </w:r>
    <w:r>
      <w:tab/>
    </w:r>
    <w:r>
      <w:tab/>
    </w:r>
  </w:p>
  <w:p w14:paraId="53115499" w14:textId="77777777" w:rsidR="00C666AF" w:rsidRDefault="00000000">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0000002"/>
    <w:multiLevelType w:val="hybridMultilevel"/>
    <w:tmpl w:val="4EF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E5815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4BE5CD5"/>
    <w:multiLevelType w:val="multilevel"/>
    <w:tmpl w:val="894EE87A"/>
    <w:lvl w:ilvl="0">
      <w:start w:val="1"/>
      <w:numFmt w:val="lowerLetter"/>
      <w:lvlText w:val="%1."/>
      <w:lvlJc w:val="left"/>
      <w:pPr>
        <w:tabs>
          <w:tab w:val="left" w:pos="360"/>
        </w:tabs>
        <w:ind w:left="360" w:firstLine="360"/>
      </w:pPr>
      <w:rPr>
        <w:rFonts w:hint="default"/>
        <w:color w:val="000000"/>
        <w:position w:val="0"/>
        <w:sz w:val="20"/>
      </w:rPr>
    </w:lvl>
    <w:lvl w:ilvl="1">
      <w:start w:val="1"/>
      <w:numFmt w:val="lowerLetter"/>
      <w:lvlText w:val="%2."/>
      <w:lvlJc w:val="left"/>
      <w:pPr>
        <w:tabs>
          <w:tab w:val="left" w:pos="360"/>
        </w:tabs>
        <w:ind w:left="360" w:firstLine="1080"/>
      </w:pPr>
      <w:rPr>
        <w:rFonts w:hint="default"/>
        <w:color w:val="000000"/>
        <w:position w:val="0"/>
        <w:sz w:val="20"/>
      </w:rPr>
    </w:lvl>
    <w:lvl w:ilvl="2">
      <w:start w:val="1"/>
      <w:numFmt w:val="lowerRoman"/>
      <w:lvlText w:val="%3."/>
      <w:lvlJc w:val="left"/>
      <w:pPr>
        <w:tabs>
          <w:tab w:val="left" w:pos="340"/>
        </w:tabs>
        <w:ind w:left="340" w:firstLine="1820"/>
      </w:pPr>
      <w:rPr>
        <w:rFonts w:hint="default"/>
        <w:color w:val="000000"/>
        <w:position w:val="0"/>
        <w:sz w:val="20"/>
      </w:rPr>
    </w:lvl>
    <w:lvl w:ilvl="3">
      <w:start w:val="1"/>
      <w:numFmt w:val="decimal"/>
      <w:isLgl/>
      <w:lvlText w:val="%4."/>
      <w:lvlJc w:val="left"/>
      <w:pPr>
        <w:tabs>
          <w:tab w:val="left" w:pos="360"/>
        </w:tabs>
        <w:ind w:left="360" w:firstLine="2520"/>
      </w:pPr>
      <w:rPr>
        <w:rFonts w:hint="default"/>
        <w:color w:val="000000"/>
        <w:position w:val="0"/>
        <w:sz w:val="20"/>
      </w:rPr>
    </w:lvl>
    <w:lvl w:ilvl="4">
      <w:start w:val="1"/>
      <w:numFmt w:val="lowerLetter"/>
      <w:lvlText w:val="%5."/>
      <w:lvlJc w:val="left"/>
      <w:pPr>
        <w:tabs>
          <w:tab w:val="left" w:pos="360"/>
        </w:tabs>
        <w:ind w:left="360" w:firstLine="3240"/>
      </w:pPr>
      <w:rPr>
        <w:rFonts w:hint="default"/>
        <w:color w:val="000000"/>
        <w:position w:val="0"/>
        <w:sz w:val="20"/>
      </w:rPr>
    </w:lvl>
    <w:lvl w:ilvl="5">
      <w:start w:val="1"/>
      <w:numFmt w:val="lowerRoman"/>
      <w:lvlText w:val="%6."/>
      <w:lvlJc w:val="left"/>
      <w:pPr>
        <w:tabs>
          <w:tab w:val="left" w:pos="340"/>
        </w:tabs>
        <w:ind w:left="340" w:firstLine="3980"/>
      </w:pPr>
      <w:rPr>
        <w:rFonts w:hint="default"/>
        <w:color w:val="000000"/>
        <w:position w:val="0"/>
        <w:sz w:val="20"/>
      </w:rPr>
    </w:lvl>
    <w:lvl w:ilvl="6">
      <w:start w:val="1"/>
      <w:numFmt w:val="decimal"/>
      <w:isLgl/>
      <w:lvlText w:val="%7."/>
      <w:lvlJc w:val="left"/>
      <w:pPr>
        <w:tabs>
          <w:tab w:val="left" w:pos="360"/>
        </w:tabs>
        <w:ind w:left="360" w:firstLine="4680"/>
      </w:pPr>
      <w:rPr>
        <w:rFonts w:hint="default"/>
        <w:color w:val="000000"/>
        <w:position w:val="0"/>
        <w:sz w:val="20"/>
      </w:rPr>
    </w:lvl>
    <w:lvl w:ilvl="7">
      <w:start w:val="1"/>
      <w:numFmt w:val="lowerLetter"/>
      <w:lvlText w:val="%8."/>
      <w:lvlJc w:val="left"/>
      <w:pPr>
        <w:tabs>
          <w:tab w:val="left" w:pos="360"/>
        </w:tabs>
        <w:ind w:left="360" w:firstLine="5400"/>
      </w:pPr>
      <w:rPr>
        <w:rFonts w:hint="default"/>
        <w:color w:val="000000"/>
        <w:position w:val="0"/>
        <w:sz w:val="20"/>
      </w:rPr>
    </w:lvl>
    <w:lvl w:ilvl="8">
      <w:start w:val="1"/>
      <w:numFmt w:val="lowerRoman"/>
      <w:lvlText w:val="%9."/>
      <w:lvlJc w:val="left"/>
      <w:pPr>
        <w:tabs>
          <w:tab w:val="left" w:pos="340"/>
        </w:tabs>
        <w:ind w:left="340" w:firstLine="6140"/>
      </w:pPr>
      <w:rPr>
        <w:rFonts w:hint="default"/>
        <w:color w:val="000000"/>
        <w:position w:val="0"/>
        <w:sz w:val="20"/>
      </w:rPr>
    </w:lvl>
  </w:abstractNum>
  <w:num w:numId="1" w16cid:durableId="743725565">
    <w:abstractNumId w:val="3"/>
  </w:num>
  <w:num w:numId="2" w16cid:durableId="943421068">
    <w:abstractNumId w:val="0"/>
  </w:num>
  <w:num w:numId="3" w16cid:durableId="2128154537">
    <w:abstractNumId w:val="2"/>
  </w:num>
  <w:num w:numId="4" w16cid:durableId="668143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AF"/>
    <w:rsid w:val="00030149"/>
    <w:rsid w:val="00047FFC"/>
    <w:rsid w:val="000542A0"/>
    <w:rsid w:val="00087362"/>
    <w:rsid w:val="000D7034"/>
    <w:rsid w:val="00264F44"/>
    <w:rsid w:val="00291420"/>
    <w:rsid w:val="002A1EF5"/>
    <w:rsid w:val="002B3383"/>
    <w:rsid w:val="002C5189"/>
    <w:rsid w:val="00446998"/>
    <w:rsid w:val="00471809"/>
    <w:rsid w:val="00562EB5"/>
    <w:rsid w:val="00696F48"/>
    <w:rsid w:val="006D5044"/>
    <w:rsid w:val="006D62C7"/>
    <w:rsid w:val="00781948"/>
    <w:rsid w:val="00781C75"/>
    <w:rsid w:val="007C355D"/>
    <w:rsid w:val="007E3B35"/>
    <w:rsid w:val="008B08C0"/>
    <w:rsid w:val="00A5161B"/>
    <w:rsid w:val="00A94B85"/>
    <w:rsid w:val="00AA4601"/>
    <w:rsid w:val="00AF5AE6"/>
    <w:rsid w:val="00B04E91"/>
    <w:rsid w:val="00B16395"/>
    <w:rsid w:val="00B51C4F"/>
    <w:rsid w:val="00B6287B"/>
    <w:rsid w:val="00B95A5D"/>
    <w:rsid w:val="00BA7098"/>
    <w:rsid w:val="00BC3C4B"/>
    <w:rsid w:val="00BD1EBB"/>
    <w:rsid w:val="00BD1FC5"/>
    <w:rsid w:val="00C64289"/>
    <w:rsid w:val="00C666AF"/>
    <w:rsid w:val="00C738FE"/>
    <w:rsid w:val="00DB0452"/>
    <w:rsid w:val="00E23F69"/>
    <w:rsid w:val="00EB760A"/>
    <w:rsid w:val="00ED090B"/>
    <w:rsid w:val="00F1618F"/>
    <w:rsid w:val="00F82235"/>
    <w:rsid w:val="00F957AE"/>
    <w:rsid w:val="00FA47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E7AA1"/>
  <w15:docId w15:val="{3A67882F-CEEA-43CC-A55F-19FE9B4B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s="Lucida Grande"/>
      <w:sz w:val="18"/>
      <w:szCs w:val="18"/>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tyle>
  <w:style w:type="character" w:styleId="FootnoteReference">
    <w:name w:val="footnote reference"/>
    <w:uiPriority w:val="99"/>
    <w:rPr>
      <w:vertAlign w:val="superscript"/>
    </w:rPr>
  </w:style>
  <w:style w:type="character" w:styleId="PageNumber">
    <w:name w:val="page number"/>
  </w:style>
  <w:style w:type="character" w:styleId="Hyperlink">
    <w:name w:val="Hyperlink"/>
    <w:uiPriority w:val="99"/>
    <w:qFormat/>
    <w:rPr>
      <w:color w:val="0000FF"/>
      <w:u w:val="single"/>
    </w:rPr>
  </w:style>
  <w:style w:type="paragraph" w:customStyle="1" w:styleId="BodyText1">
    <w:name w:val="Body Text1"/>
    <w:pPr>
      <w:spacing w:after="120" w:line="228" w:lineRule="auto"/>
      <w:ind w:firstLine="288"/>
      <w:jc w:val="both"/>
    </w:pPr>
    <w:rPr>
      <w:rFonts w:eastAsia="ヒラギノ角ゴ Pro W3"/>
      <w:color w:val="000000"/>
      <w:spacing w:val="-1"/>
    </w:rPr>
  </w:style>
  <w:style w:type="paragraph" w:customStyle="1" w:styleId="FreeForm">
    <w:name w:val="Free Form"/>
    <w:rPr>
      <w:rFonts w:eastAsia="ヒラギノ角ゴ Pro W3"/>
      <w:color w:val="000000"/>
      <w:lang w:val="en-AU"/>
    </w:rPr>
  </w:style>
  <w:style w:type="paragraph" w:customStyle="1" w:styleId="D-Table">
    <w:name w:val="D-Table"/>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pPr>
      <w:jc w:val="center"/>
    </w:pPr>
    <w:rPr>
      <w:rFonts w:ascii="Times New Roman Bold" w:eastAsia="ヒラギノ角ゴ Pro W3" w:hAnsi="Times New Roman Bold"/>
      <w:color w:val="000000"/>
      <w:sz w:val="16"/>
    </w:rPr>
  </w:style>
  <w:style w:type="paragraph" w:customStyle="1" w:styleId="tablecolsubhead">
    <w:name w:val="table col subhead"/>
    <w:pPr>
      <w:jc w:val="center"/>
    </w:pPr>
    <w:rPr>
      <w:rFonts w:ascii="Times New Roman Bold Italic" w:eastAsia="ヒラギノ角ゴ Pro W3" w:hAnsi="Times New Roman Bold Italic"/>
      <w:color w:val="000000"/>
      <w:sz w:val="15"/>
    </w:rPr>
  </w:style>
  <w:style w:type="paragraph" w:customStyle="1" w:styleId="tablecopy">
    <w:name w:val="table copy"/>
    <w:pPr>
      <w:jc w:val="both"/>
    </w:pPr>
    <w:rPr>
      <w:rFonts w:eastAsia="ヒラギノ角ゴ Pro W3"/>
      <w:color w:val="000000"/>
      <w:sz w:val="16"/>
    </w:rPr>
  </w:style>
  <w:style w:type="paragraph" w:customStyle="1" w:styleId="tablefootnote">
    <w:name w:val="table footnote"/>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pPr>
      <w:ind w:left="720"/>
      <w:contextualSpacing/>
    </w:p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tyle>
  <w:style w:type="character" w:styleId="EndnoteReference">
    <w:name w:val="endnote reference"/>
    <w:uiPriority w:val="99"/>
    <w:rPr>
      <w:vertAlign w:val="superscript"/>
    </w:rPr>
  </w:style>
  <w:style w:type="paragraph" w:customStyle="1" w:styleId="Abstract">
    <w:name w:val="Abstract"/>
    <w:link w:val="AbstractChar"/>
    <w:pPr>
      <w:spacing w:after="200"/>
      <w:jc w:val="both"/>
    </w:pPr>
    <w:rPr>
      <w:rFonts w:eastAsia="SimSun"/>
      <w:b/>
      <w:bCs/>
      <w:sz w:val="18"/>
      <w:szCs w:val="18"/>
    </w:rPr>
  </w:style>
  <w:style w:type="paragraph" w:customStyle="1" w:styleId="StyleAbstractItalic">
    <w:name w:val="Style Abstract + Italic"/>
    <w:basedOn w:val="Abstract"/>
    <w:link w:val="StyleAbstractItalicChar"/>
    <w:rPr>
      <w:rFonts w:eastAsia="MS Mincho"/>
      <w:i/>
      <w:iCs/>
    </w:rPr>
  </w:style>
  <w:style w:type="character" w:customStyle="1" w:styleId="AbstractChar">
    <w:name w:val="Abstract Char"/>
    <w:link w:val="Abstract"/>
    <w:rPr>
      <w:rFonts w:eastAsia="SimSun"/>
      <w:b/>
      <w:bCs/>
      <w:sz w:val="18"/>
      <w:szCs w:val="18"/>
      <w:lang w:bidi="ar-SA"/>
    </w:rPr>
  </w:style>
  <w:style w:type="character" w:customStyle="1" w:styleId="StyleAbstractItalicChar">
    <w:name w:val="Style Abstract + Italic Char"/>
    <w:link w:val="StyleAbstractItalic"/>
    <w:rPr>
      <w:b/>
      <w:bCs/>
      <w:i/>
      <w:iCs/>
      <w:sz w:val="18"/>
      <w:szCs w:val="18"/>
    </w:rPr>
  </w:style>
  <w:style w:type="paragraph" w:styleId="BodyText">
    <w:name w:val="Body Text"/>
    <w:basedOn w:val="Normal"/>
    <w:link w:val="BodyTextChar"/>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Pr>
      <w:rFonts w:eastAsia="SimSun"/>
      <w:spacing w:val="-1"/>
    </w:rPr>
  </w:style>
  <w:style w:type="paragraph" w:styleId="ListParagraph">
    <w:name w:val="List Paragraph"/>
    <w:basedOn w:val="Normal"/>
    <w:uiPriority w:val="72"/>
    <w:qFormat/>
    <w:pPr>
      <w:ind w:left="720"/>
      <w:contextualSpacing/>
    </w:pPr>
  </w:style>
  <w:style w:type="character" w:customStyle="1" w:styleId="SebutanYangBelumTerselesaikan1">
    <w:name w:val="Sebutan Yang Belum Terselesaikan1"/>
    <w:basedOn w:val="DefaultParagraphFont"/>
    <w:uiPriority w:val="99"/>
    <w:rPr>
      <w:color w:val="605E5C"/>
      <w:shd w:val="clear" w:color="auto" w:fill="E1DFDD"/>
    </w:rPr>
  </w:style>
  <w:style w:type="paragraph" w:styleId="Bibliography">
    <w:name w:val="Bibliography"/>
    <w:basedOn w:val="Normal"/>
    <w:next w:val="Normal"/>
    <w:uiPriority w:val="70"/>
    <w:pPr>
      <w:spacing w:line="480" w:lineRule="auto"/>
      <w:ind w:left="720" w:hanging="72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A4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zotero.org/google-docs/?IXgkhq" TargetMode="External"/><Relationship Id="rId3" Type="http://schemas.openxmlformats.org/officeDocument/2006/relationships/customXml" Target="../customXml/item3.xml"/><Relationship Id="rId21" Type="http://schemas.openxmlformats.org/officeDocument/2006/relationships/hyperlink" Target="https://doi.org/10.13057/biodiv/d220126" TargetMode="External"/><Relationship Id="rId7" Type="http://schemas.openxmlformats.org/officeDocument/2006/relationships/styles" Target="styles.xml"/><Relationship Id="rId12" Type="http://schemas.openxmlformats.org/officeDocument/2006/relationships/hyperlink" Target="mailto:meilindapahriana@unizar.ac.id" TargetMode="External"/><Relationship Id="rId17" Type="http://schemas.openxmlformats.org/officeDocument/2006/relationships/hyperlink" Target="https://www.zotero.org/google-docs/?AC7I2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1139/b04-05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64B864F-9079-486D-B520-85A754AC9820}">
  <ds:schemaRefs>
    <ds:schemaRef ds:uri="http://www.wps.cn/android/officeDocument/2013/mofficeCustomData"/>
  </ds:schemaRefs>
</ds:datastoreItem>
</file>

<file path=customXml/itemProps2.xml><?xml version="1.0" encoding="utf-8"?>
<ds:datastoreItem xmlns:ds="http://schemas.openxmlformats.org/officeDocument/2006/customXml" ds:itemID="{FD2795D8-67CE-4FA6-BA53-F29C890082E1}">
  <ds:schemaRefs>
    <ds:schemaRef ds:uri="http://www.wps.cn/android/officeDocument/2013/mofficeCustomData"/>
  </ds:schemaRefs>
</ds:datastoreItem>
</file>

<file path=customXml/itemProps3.xml><?xml version="1.0" encoding="utf-8"?>
<ds:datastoreItem xmlns:ds="http://schemas.openxmlformats.org/officeDocument/2006/customXml" ds:itemID="{408C6809-6C7E-428C-A383-B1E216586D64}">
  <ds:schemaRefs>
    <ds:schemaRef ds:uri="http://schemas.openxmlformats.org/officeDocument/2006/bibliography"/>
  </ds:schemaRefs>
</ds:datastoreItem>
</file>

<file path=customXml/itemProps4.xml><?xml version="1.0" encoding="utf-8"?>
<ds:datastoreItem xmlns:ds="http://schemas.openxmlformats.org/officeDocument/2006/customXml" ds:itemID="{5660CC18-B422-46A8-A042-E863A9EF699A}">
  <ds:schemaRefs>
    <ds:schemaRef ds:uri="http://www.wps.cn/android/officeDocument/2013/mofficeCustomData"/>
  </ds:schemaRefs>
</ds:datastoreItem>
</file>

<file path=customXml/itemProps5.xml><?xml version="1.0" encoding="utf-8"?>
<ds:datastoreItem xmlns:ds="http://schemas.openxmlformats.org/officeDocument/2006/customXml" ds:itemID="{4A3A79F8-2872-428A-ADC6-D432A845B03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10632</Words>
  <Characters>60603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24</cp:revision>
  <cp:lastPrinted>2018-11-14T07:29:00Z</cp:lastPrinted>
  <dcterms:created xsi:type="dcterms:W3CDTF">2025-03-17T06:37:00Z</dcterms:created>
  <dcterms:modified xsi:type="dcterms:W3CDTF">2025-04-24T07:25:00Z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id="n67l8Wxv"/&gt;&lt;style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ICV">
    <vt:lpwstr>78de25aad35341d69f959db76dec3015</vt:lpwstr>
  </property>
</Properties>
</file>